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600" w:rsidRPr="00C23295" w:rsidRDefault="00C96502" w:rsidP="003C5600">
      <w:pPr>
        <w:pStyle w:val="Title"/>
      </w:pPr>
      <w:r>
        <w:rPr>
          <w:rFonts w:cs="Tahoma"/>
        </w:rPr>
        <w:t>Requirements for risk assessments</w:t>
      </w:r>
      <w:r w:rsidR="00C23295" w:rsidRPr="00C23295">
        <w:rPr>
          <w:rFonts w:cs="Tahoma"/>
        </w:rPr>
        <w:t xml:space="preserve"> </w:t>
      </w:r>
    </w:p>
    <w:p w:rsidR="00C50FD7" w:rsidRDefault="002E3A6A" w:rsidP="00C23295">
      <w:pPr>
        <w:pStyle w:val="Sub-title"/>
        <w:sectPr w:rsidR="00C50FD7" w:rsidSect="00B2667C">
          <w:headerReference w:type="even" r:id="rId7"/>
          <w:headerReference w:type="default" r:id="rId8"/>
          <w:footerReference w:type="even" r:id="rId9"/>
          <w:footerReference w:type="default" r:id="rId10"/>
          <w:headerReference w:type="first" r:id="rId11"/>
          <w:footerReference w:type="first" r:id="rId12"/>
          <w:pgSz w:w="11899" w:h="16838" w:code="9"/>
          <w:pgMar w:top="2438" w:right="1418" w:bottom="1134" w:left="1418" w:header="567" w:footer="567" w:gutter="0"/>
          <w:cols w:space="708"/>
        </w:sectPr>
      </w:pPr>
      <w:r>
        <w:t xml:space="preserve">A childcare </w:t>
      </w:r>
      <w:r w:rsidR="00C96502">
        <w:t>factsheet</w:t>
      </w:r>
    </w:p>
    <w:p w:rsidR="00516763" w:rsidRPr="006E3D67" w:rsidRDefault="00516763" w:rsidP="005D09F0">
      <w:pPr>
        <w:pStyle w:val="Heading1"/>
      </w:pPr>
      <w:r w:rsidRPr="005D09F0">
        <w:lastRenderedPageBreak/>
        <w:t>Introduction</w:t>
      </w:r>
    </w:p>
    <w:p w:rsidR="0062367C" w:rsidRDefault="005614F1" w:rsidP="005D09F0">
      <w:pPr>
        <w:pStyle w:val="Unnumberedparagraph"/>
      </w:pPr>
      <w:r>
        <w:t xml:space="preserve">The </w:t>
      </w:r>
      <w:r w:rsidR="008E593B" w:rsidRPr="008E593B">
        <w:rPr>
          <w:i/>
        </w:rPr>
        <w:t xml:space="preserve">Statutory </w:t>
      </w:r>
      <w:r w:rsidR="00963861">
        <w:rPr>
          <w:i/>
        </w:rPr>
        <w:t>f</w:t>
      </w:r>
      <w:r w:rsidR="008E593B" w:rsidRPr="008E593B">
        <w:rPr>
          <w:i/>
        </w:rPr>
        <w:t xml:space="preserve">ramework for the </w:t>
      </w:r>
      <w:r w:rsidRPr="008E593B">
        <w:rPr>
          <w:i/>
        </w:rPr>
        <w:t>Early Years Foundation Stage</w:t>
      </w:r>
      <w:r>
        <w:t xml:space="preserve"> </w:t>
      </w:r>
      <w:r w:rsidR="00D401DB">
        <w:t xml:space="preserve">sets out legal requirements </w:t>
      </w:r>
      <w:r w:rsidR="002F228E">
        <w:t>that all providers must meet. This includes requirements relating to risk assessments</w:t>
      </w:r>
      <w:r w:rsidR="008E593B">
        <w:t xml:space="preserve">. </w:t>
      </w:r>
      <w:r w:rsidR="00EA3608">
        <w:t xml:space="preserve">Providers must have a policy and procedures for assessing risks and must carry out risk assessments in two circumstances. </w:t>
      </w:r>
      <w:r w:rsidR="008E593B">
        <w:t>These are</w:t>
      </w:r>
      <w:r w:rsidR="0062367C">
        <w:t xml:space="preserve"> in relation to:</w:t>
      </w:r>
    </w:p>
    <w:p w:rsidR="006D2EB8" w:rsidRDefault="0056682D" w:rsidP="005D09F0">
      <w:pPr>
        <w:pStyle w:val="Bulletsspaced"/>
      </w:pPr>
      <w:r>
        <w:t>the environment</w:t>
      </w:r>
      <w:r w:rsidR="00963861">
        <w:t xml:space="preserve"> </w:t>
      </w:r>
      <w:r w:rsidR="0062367C">
        <w:t>(</w:t>
      </w:r>
      <w:r w:rsidR="0062367C" w:rsidRPr="005D09F0">
        <w:t>pa</w:t>
      </w:r>
      <w:r w:rsidRPr="005D09F0">
        <w:t>ragraph</w:t>
      </w:r>
      <w:r w:rsidR="0062367C">
        <w:t xml:space="preserve"> 3</w:t>
      </w:r>
      <w:r>
        <w:t>.63</w:t>
      </w:r>
      <w:r w:rsidR="0062367C">
        <w:t xml:space="preserve"> of the </w:t>
      </w:r>
      <w:r w:rsidR="0062367C" w:rsidRPr="005C2185">
        <w:rPr>
          <w:i/>
        </w:rPr>
        <w:t xml:space="preserve">Statutory </w:t>
      </w:r>
      <w:r w:rsidR="00133DD3">
        <w:rPr>
          <w:i/>
        </w:rPr>
        <w:t>f</w:t>
      </w:r>
      <w:r w:rsidR="0062367C" w:rsidRPr="005C2185">
        <w:rPr>
          <w:i/>
        </w:rPr>
        <w:t>ramework</w:t>
      </w:r>
      <w:r w:rsidR="0062367C">
        <w:t>)</w:t>
      </w:r>
    </w:p>
    <w:p w:rsidR="00E14506" w:rsidRDefault="00E14506" w:rsidP="005D09F0">
      <w:pPr>
        <w:pStyle w:val="Bulletsspaced-lastbullet"/>
      </w:pPr>
      <w:r>
        <w:t>outings (</w:t>
      </w:r>
      <w:r w:rsidRPr="005D09F0">
        <w:t>paragraph</w:t>
      </w:r>
      <w:r>
        <w:t xml:space="preserve"> 3.64 of the </w:t>
      </w:r>
      <w:r w:rsidRPr="005C2185">
        <w:rPr>
          <w:i/>
        </w:rPr>
        <w:t xml:space="preserve">Statutory </w:t>
      </w:r>
      <w:r w:rsidR="00133DD3">
        <w:rPr>
          <w:i/>
        </w:rPr>
        <w:t>f</w:t>
      </w:r>
      <w:r w:rsidRPr="005C2185">
        <w:rPr>
          <w:i/>
        </w:rPr>
        <w:t>ramework</w:t>
      </w:r>
      <w:r>
        <w:t>).</w:t>
      </w:r>
    </w:p>
    <w:p w:rsidR="008E593B" w:rsidRDefault="008E593B" w:rsidP="005D09F0">
      <w:pPr>
        <w:pStyle w:val="Unnumberedparagraph"/>
      </w:pPr>
      <w:r>
        <w:t xml:space="preserve">This factsheet sets out our expectations relating to the </w:t>
      </w:r>
      <w:r w:rsidR="001D68E6">
        <w:t xml:space="preserve">policy and procedures and the </w:t>
      </w:r>
      <w:r>
        <w:t>identification, checking and recording of risks</w:t>
      </w:r>
      <w:r w:rsidR="0062367C">
        <w:t xml:space="preserve"> in these two areas</w:t>
      </w:r>
      <w:r>
        <w:t>.</w:t>
      </w:r>
    </w:p>
    <w:p w:rsidR="00EA3608" w:rsidRPr="004617C2" w:rsidRDefault="00EA3608" w:rsidP="005D09F0">
      <w:pPr>
        <w:pStyle w:val="Heading1"/>
      </w:pPr>
      <w:r w:rsidRPr="004617C2">
        <w:t>Risk assessment policy and procedures</w:t>
      </w:r>
    </w:p>
    <w:p w:rsidR="00EA3608" w:rsidRDefault="001D68E6" w:rsidP="005D09F0">
      <w:pPr>
        <w:pStyle w:val="Unnumberedparagraph"/>
      </w:pPr>
      <w:r>
        <w:t xml:space="preserve">The </w:t>
      </w:r>
      <w:r w:rsidRPr="005C2185">
        <w:rPr>
          <w:i/>
        </w:rPr>
        <w:t xml:space="preserve">Statutory </w:t>
      </w:r>
      <w:r w:rsidR="00133DD3">
        <w:rPr>
          <w:i/>
        </w:rPr>
        <w:t>f</w:t>
      </w:r>
      <w:r w:rsidRPr="005C2185">
        <w:rPr>
          <w:i/>
        </w:rPr>
        <w:t>ramework</w:t>
      </w:r>
      <w:r>
        <w:t xml:space="preserve"> requires providers to have a policy and procedures for assessing risks</w:t>
      </w:r>
      <w:r w:rsidR="00E14506">
        <w:t xml:space="preserve">. You must have these </w:t>
      </w:r>
      <w:r>
        <w:t xml:space="preserve">in writing unless </w:t>
      </w:r>
      <w:r w:rsidR="00E14506">
        <w:t xml:space="preserve">you are a </w:t>
      </w:r>
      <w:r>
        <w:t>childminder</w:t>
      </w:r>
      <w:r w:rsidR="00EA3608">
        <w:t xml:space="preserve"> (paragraph 3.3 of the </w:t>
      </w:r>
      <w:r w:rsidR="00EA3608" w:rsidRPr="005C2185">
        <w:rPr>
          <w:i/>
        </w:rPr>
        <w:t xml:space="preserve">Statutory </w:t>
      </w:r>
      <w:r w:rsidR="00133DD3">
        <w:rPr>
          <w:i/>
        </w:rPr>
        <w:t>f</w:t>
      </w:r>
      <w:r w:rsidR="00EA3608" w:rsidRPr="005C2185">
        <w:rPr>
          <w:i/>
        </w:rPr>
        <w:t>ramework</w:t>
      </w:r>
      <w:r w:rsidR="00EA3608">
        <w:t xml:space="preserve">). </w:t>
      </w:r>
      <w:r>
        <w:t xml:space="preserve">There is no detail on what the policy and procedures must cover. We would </w:t>
      </w:r>
      <w:r w:rsidR="006F2F4B">
        <w:t xml:space="preserve">normally </w:t>
      </w:r>
      <w:r>
        <w:t xml:space="preserve">expect them </w:t>
      </w:r>
      <w:r w:rsidR="00EA3608">
        <w:t>to cover how and when risk assessments are carried out, who is involved in assessing risks, what aspects they cover, what records are needed and how these must be kept.</w:t>
      </w:r>
      <w:r>
        <w:t xml:space="preserve"> </w:t>
      </w:r>
      <w:r w:rsidR="00E14506">
        <w:t xml:space="preserve">If you are a </w:t>
      </w:r>
      <w:r>
        <w:t>childminder</w:t>
      </w:r>
      <w:r w:rsidR="00E14506">
        <w:t xml:space="preserve"> you must </w:t>
      </w:r>
      <w:r>
        <w:t xml:space="preserve">be able to explain these arrangements </w:t>
      </w:r>
      <w:r w:rsidR="00E14506">
        <w:t>to us if you do not have your policy and procedures in writing.</w:t>
      </w:r>
    </w:p>
    <w:p w:rsidR="00E14506" w:rsidRPr="008179E5" w:rsidRDefault="00E14506" w:rsidP="005D09F0">
      <w:pPr>
        <w:pStyle w:val="Heading1"/>
      </w:pPr>
      <w:r w:rsidRPr="008179E5">
        <w:t xml:space="preserve">Risk assessments relating to </w:t>
      </w:r>
      <w:r>
        <w:t>the environment</w:t>
      </w:r>
    </w:p>
    <w:p w:rsidR="006B6652" w:rsidRDefault="00E14506" w:rsidP="005D09F0">
      <w:pPr>
        <w:pStyle w:val="Unnumberedparagraph"/>
      </w:pPr>
      <w:r>
        <w:t>The legal requirement is for risk assessments that identify aspects of the environment that need to be checked on a regular basis, when and by whom those aspects will be checked and how risks will be removed and minimised.</w:t>
      </w:r>
      <w:r w:rsidR="004617C2">
        <w:t xml:space="preserve"> </w:t>
      </w:r>
      <w:r w:rsidR="006B6652" w:rsidRPr="00E14506">
        <w:t xml:space="preserve">The </w:t>
      </w:r>
      <w:r w:rsidR="006B6652" w:rsidRPr="005C2185">
        <w:rPr>
          <w:i/>
        </w:rPr>
        <w:t xml:space="preserve">Statutory </w:t>
      </w:r>
      <w:r w:rsidR="00133DD3">
        <w:rPr>
          <w:i/>
        </w:rPr>
        <w:t>f</w:t>
      </w:r>
      <w:r w:rsidR="006B6652" w:rsidRPr="005C2185">
        <w:rPr>
          <w:i/>
        </w:rPr>
        <w:t>ramework</w:t>
      </w:r>
      <w:r w:rsidR="006B6652" w:rsidRPr="00E14506">
        <w:t xml:space="preserve"> states that it is for providers to judge when these risk assessments should be in writing. However</w:t>
      </w:r>
      <w:r w:rsidR="00D539D1">
        <w:t>,</w:t>
      </w:r>
      <w:r w:rsidR="006B6652" w:rsidRPr="00E14506">
        <w:t xml:space="preserve"> </w:t>
      </w:r>
      <w:r w:rsidR="006B6652">
        <w:t xml:space="preserve">providers must also comply with the requirements of health and safety legislation (paragraph 3.53) and </w:t>
      </w:r>
      <w:r w:rsidR="00ED0550">
        <w:t xml:space="preserve">providers must consider how they meet </w:t>
      </w:r>
      <w:r w:rsidR="00ED0550">
        <w:lastRenderedPageBreak/>
        <w:t xml:space="preserve">the requirements for risk assessments in relation to that legislation where </w:t>
      </w:r>
      <w:r w:rsidR="006B6652">
        <w:t>five or more people work together</w:t>
      </w:r>
      <w:r w:rsidR="00D539D1">
        <w:t>.</w:t>
      </w:r>
      <w:r w:rsidR="0069662B">
        <w:rPr>
          <w:rStyle w:val="FootnoteReference"/>
        </w:rPr>
        <w:footnoteReference w:id="1"/>
      </w:r>
    </w:p>
    <w:p w:rsidR="006B6652" w:rsidRDefault="006B6652" w:rsidP="005D09F0">
      <w:pPr>
        <w:pStyle w:val="Unnumberedparagraph"/>
      </w:pPr>
      <w:r>
        <w:t xml:space="preserve">The </w:t>
      </w:r>
      <w:r w:rsidRPr="005C2185">
        <w:rPr>
          <w:i/>
        </w:rPr>
        <w:t xml:space="preserve">Statutory </w:t>
      </w:r>
      <w:r w:rsidR="00133DD3">
        <w:rPr>
          <w:i/>
        </w:rPr>
        <w:t>f</w:t>
      </w:r>
      <w:r w:rsidRPr="005C2185">
        <w:rPr>
          <w:i/>
        </w:rPr>
        <w:t>ramework</w:t>
      </w:r>
      <w:r>
        <w:t xml:space="preserve"> also requires risk assessments to be reviewed regularly. If providers are also registered on the Childcare Register the requirement is for risk assessments to be reviewed annually.</w:t>
      </w:r>
    </w:p>
    <w:p w:rsidR="004617C2" w:rsidRDefault="004617C2" w:rsidP="005D09F0">
      <w:pPr>
        <w:pStyle w:val="Unnumberedparagraph"/>
      </w:pPr>
      <w:r>
        <w:t xml:space="preserve">How you decide on </w:t>
      </w:r>
      <w:r w:rsidR="000F5280">
        <w:t xml:space="preserve">what needs to be written, what needs to be checked and how often it is reviewed </w:t>
      </w:r>
      <w:r>
        <w:t>is very much down to you but you may wish to take into account:</w:t>
      </w:r>
    </w:p>
    <w:p w:rsidR="006B6652" w:rsidRDefault="006F2F4B" w:rsidP="005D09F0">
      <w:pPr>
        <w:pStyle w:val="Bulletsspaced"/>
      </w:pPr>
      <w:r>
        <w:t>t</w:t>
      </w:r>
      <w:r w:rsidR="004617C2">
        <w:t xml:space="preserve">he </w:t>
      </w:r>
      <w:r>
        <w:t>size of your provision</w:t>
      </w:r>
      <w:r w:rsidR="006B6652">
        <w:t>, its layout and location (for example if there are stairs for children to negotiate, or an outdoor area that has rubbish thrown into it from passer</w:t>
      </w:r>
      <w:r w:rsidR="00524EB7">
        <w:t>s</w:t>
      </w:r>
      <w:r w:rsidR="00B11528">
        <w:t>-</w:t>
      </w:r>
      <w:r w:rsidR="006B6652">
        <w:t>by)</w:t>
      </w:r>
    </w:p>
    <w:p w:rsidR="00F5508E" w:rsidRDefault="00F5508E" w:rsidP="005D09F0">
      <w:pPr>
        <w:pStyle w:val="Bulletsspaced"/>
      </w:pPr>
      <w:r>
        <w:t>the ages of children attending</w:t>
      </w:r>
      <w:r w:rsidR="002C6E9E">
        <w:t xml:space="preserve"> and whether </w:t>
      </w:r>
      <w:r>
        <w:t xml:space="preserve">areas </w:t>
      </w:r>
      <w:r w:rsidR="00524EB7">
        <w:t xml:space="preserve">within the provision </w:t>
      </w:r>
      <w:r w:rsidR="002C6E9E">
        <w:t xml:space="preserve">are used </w:t>
      </w:r>
      <w:r>
        <w:t>by children of different ages</w:t>
      </w:r>
    </w:p>
    <w:p w:rsidR="006B6652" w:rsidRPr="001911DE" w:rsidRDefault="000E789C" w:rsidP="005D09F0">
      <w:pPr>
        <w:pStyle w:val="Bulletsspaced"/>
      </w:pPr>
      <w:r>
        <w:t>whether you involve children in assessing risks</w:t>
      </w:r>
      <w:r w:rsidR="002C6E9E">
        <w:t>,</w:t>
      </w:r>
      <w:r>
        <w:t xml:space="preserve"> including taking account of their height, developmental understanding and mobility</w:t>
      </w:r>
    </w:p>
    <w:p w:rsidR="00B11528" w:rsidRPr="001911DE" w:rsidRDefault="006F2F4B" w:rsidP="005D09F0">
      <w:pPr>
        <w:pStyle w:val="Bulletsspaced"/>
      </w:pPr>
      <w:r>
        <w:t xml:space="preserve">whether </w:t>
      </w:r>
      <w:r w:rsidR="00524EB7">
        <w:t>the risk assessment</w:t>
      </w:r>
      <w:r>
        <w:t xml:space="preserve"> is for your sole use at all times or whether other people use it as well</w:t>
      </w:r>
      <w:r w:rsidR="006B6652">
        <w:t xml:space="preserve"> (for example a community hall where risks may be introduced by other users)</w:t>
      </w:r>
    </w:p>
    <w:p w:rsidR="004617C2" w:rsidRPr="001911DE" w:rsidRDefault="00855772" w:rsidP="005D09F0">
      <w:pPr>
        <w:pStyle w:val="Bulletsspaced"/>
      </w:pPr>
      <w:r>
        <w:t>whether</w:t>
      </w:r>
      <w:r w:rsidR="00B11528">
        <w:t xml:space="preserve"> your staff group, including any volunteers, understand risks to children and how to manage them and can explain this to others</w:t>
      </w:r>
    </w:p>
    <w:p w:rsidR="00B11528" w:rsidRDefault="00B11528" w:rsidP="005D09F0">
      <w:pPr>
        <w:pStyle w:val="Bulletsspaced-lastbullet"/>
      </w:pPr>
      <w:r>
        <w:t>the number of people who need to know if aspects have been checked, including part-time staff, volunteers or agency workers.</w:t>
      </w:r>
    </w:p>
    <w:p w:rsidR="0062367C" w:rsidRPr="005C5951" w:rsidRDefault="0062367C" w:rsidP="005D09F0">
      <w:pPr>
        <w:pStyle w:val="Heading1"/>
      </w:pPr>
      <w:r w:rsidRPr="005C5951">
        <w:t>Risk assessments for outings</w:t>
      </w:r>
    </w:p>
    <w:p w:rsidR="0062367C" w:rsidRDefault="0062367C" w:rsidP="005D09F0">
      <w:pPr>
        <w:pStyle w:val="Unnumberedparagraph"/>
      </w:pPr>
      <w:r>
        <w:t>There is a legal requirement for you to carry out risk assessment</w:t>
      </w:r>
      <w:r w:rsidR="0056682D">
        <w:t>s</w:t>
      </w:r>
      <w:r>
        <w:t xml:space="preserve"> for outing</w:t>
      </w:r>
      <w:r w:rsidR="0056682D">
        <w:t>s.</w:t>
      </w:r>
      <w:r>
        <w:t xml:space="preserve"> The </w:t>
      </w:r>
      <w:r w:rsidRPr="005C2185">
        <w:rPr>
          <w:i/>
        </w:rPr>
        <w:t xml:space="preserve">Statutory </w:t>
      </w:r>
      <w:r w:rsidR="00133DD3">
        <w:rPr>
          <w:i/>
        </w:rPr>
        <w:t>f</w:t>
      </w:r>
      <w:r w:rsidRPr="005C2185">
        <w:rPr>
          <w:i/>
        </w:rPr>
        <w:t>ramework</w:t>
      </w:r>
      <w:r>
        <w:t xml:space="preserve"> makes it clear that this should include an assessment of the ratios of adults to children needed for outing</w:t>
      </w:r>
      <w:r w:rsidR="0056682D">
        <w:t>s</w:t>
      </w:r>
      <w:r>
        <w:t xml:space="preserve">, </w:t>
      </w:r>
      <w:r w:rsidR="0056682D">
        <w:t xml:space="preserve">and </w:t>
      </w:r>
      <w:r w:rsidR="001D04A9">
        <w:t xml:space="preserve">it </w:t>
      </w:r>
      <w:r w:rsidR="0056682D">
        <w:t xml:space="preserve">must </w:t>
      </w:r>
      <w:r w:rsidR="00F67400">
        <w:t xml:space="preserve">include an </w:t>
      </w:r>
      <w:r w:rsidR="0056682D">
        <w:t>assess</w:t>
      </w:r>
      <w:r w:rsidR="00F67400">
        <w:t>ment of</w:t>
      </w:r>
      <w:r w:rsidR="0056682D">
        <w:t xml:space="preserve"> the risks and hazards that might arise for the children</w:t>
      </w:r>
      <w:r w:rsidR="00BC2A4A">
        <w:t>.</w:t>
      </w:r>
    </w:p>
    <w:p w:rsidR="0087339D" w:rsidRDefault="0062367C" w:rsidP="005D09F0">
      <w:pPr>
        <w:pStyle w:val="Unnumberedparagraph"/>
      </w:pPr>
      <w:r>
        <w:t>We interpret an outing as being any occasion you leave the premises where you provide childcare with at least one child being cared for. The children do not necessarily have to return to the premises (for example their parents may collect them from the outing destination</w:t>
      </w:r>
      <w:r w:rsidR="00F9203C">
        <w:t>)</w:t>
      </w:r>
      <w:r>
        <w:t>. If you are collecting children from elsewhere</w:t>
      </w:r>
      <w:r w:rsidR="00F9203C">
        <w:t>,</w:t>
      </w:r>
      <w:r>
        <w:t xml:space="preserve"> </w:t>
      </w:r>
      <w:r w:rsidR="00F9203C">
        <w:t xml:space="preserve">such as school, before </w:t>
      </w:r>
      <w:r w:rsidR="0087339D">
        <w:t xml:space="preserve">bringing them into the childcare setting, </w:t>
      </w:r>
      <w:r w:rsidR="00F9203C">
        <w:t xml:space="preserve">we do not interpret </w:t>
      </w:r>
      <w:r w:rsidR="0087339D">
        <w:t xml:space="preserve">this </w:t>
      </w:r>
      <w:r w:rsidR="00F9203C">
        <w:t xml:space="preserve">as </w:t>
      </w:r>
      <w:r w:rsidR="0087339D">
        <w:t xml:space="preserve">an outing. </w:t>
      </w:r>
      <w:r w:rsidR="00F9203C">
        <w:t>However</w:t>
      </w:r>
      <w:r w:rsidR="001B218A">
        <w:t>,</w:t>
      </w:r>
      <w:r w:rsidR="00F9203C">
        <w:t xml:space="preserve"> </w:t>
      </w:r>
      <w:r w:rsidR="0087339D">
        <w:t xml:space="preserve">it is </w:t>
      </w:r>
      <w:r w:rsidR="00F9203C">
        <w:t xml:space="preserve">still </w:t>
      </w:r>
      <w:r w:rsidR="0087339D">
        <w:t>good practice to assess and minimise any risks associated with such a journey.</w:t>
      </w:r>
    </w:p>
    <w:p w:rsidR="00F9203C" w:rsidRDefault="00F5508E" w:rsidP="005D09F0">
      <w:pPr>
        <w:pStyle w:val="Unnumberedparagraph"/>
      </w:pPr>
      <w:r>
        <w:t>You do not have</w:t>
      </w:r>
      <w:r w:rsidRPr="00577644">
        <w:t xml:space="preserve"> to carry out a risk assessment </w:t>
      </w:r>
      <w:r w:rsidRPr="00931398">
        <w:t>before</w:t>
      </w:r>
      <w:r w:rsidRPr="00577644">
        <w:t xml:space="preserve"> </w:t>
      </w:r>
      <w:r w:rsidRPr="0087339D">
        <w:rPr>
          <w:b/>
        </w:rPr>
        <w:t>every</w:t>
      </w:r>
      <w:r w:rsidRPr="00931398">
        <w:rPr>
          <w:b/>
        </w:rPr>
        <w:t xml:space="preserve"> </w:t>
      </w:r>
      <w:r w:rsidRPr="00577644">
        <w:t>outing</w:t>
      </w:r>
      <w:r>
        <w:t>,</w:t>
      </w:r>
      <w:r w:rsidRPr="00577644">
        <w:t xml:space="preserve"> providing there is one in </w:t>
      </w:r>
      <w:r>
        <w:t xml:space="preserve">place for that type of outing. </w:t>
      </w:r>
      <w:r w:rsidR="00C33D4D">
        <w:rPr>
          <w:lang w:eastAsia="en-GB"/>
        </w:rPr>
        <w:t>Each t</w:t>
      </w:r>
      <w:r w:rsidR="00BC2A4A">
        <w:rPr>
          <w:lang w:eastAsia="en-GB"/>
        </w:rPr>
        <w:t>ype of</w:t>
      </w:r>
      <w:r w:rsidR="00C33D4D">
        <w:rPr>
          <w:lang w:eastAsia="en-GB"/>
        </w:rPr>
        <w:t xml:space="preserve"> outing will carry its own </w:t>
      </w:r>
      <w:r w:rsidR="00C33D4D">
        <w:rPr>
          <w:lang w:eastAsia="en-GB"/>
        </w:rPr>
        <w:lastRenderedPageBreak/>
        <w:t>particular risks</w:t>
      </w:r>
      <w:r>
        <w:rPr>
          <w:lang w:eastAsia="en-GB"/>
        </w:rPr>
        <w:t xml:space="preserve"> and you must </w:t>
      </w:r>
      <w:r w:rsidR="00BC2A4A">
        <w:rPr>
          <w:lang w:eastAsia="en-GB"/>
        </w:rPr>
        <w:t xml:space="preserve">assess the risks and hazards </w:t>
      </w:r>
      <w:r w:rsidR="001B218A">
        <w:rPr>
          <w:lang w:eastAsia="en-GB"/>
        </w:rPr>
        <w:t xml:space="preserve">that </w:t>
      </w:r>
      <w:r w:rsidR="00BC2A4A">
        <w:rPr>
          <w:lang w:eastAsia="en-GB"/>
        </w:rPr>
        <w:t>may arise and the steps to be taken to remove, minimise and manage th</w:t>
      </w:r>
      <w:r w:rsidR="00F9203C">
        <w:rPr>
          <w:lang w:eastAsia="en-GB"/>
        </w:rPr>
        <w:t xml:space="preserve">em. </w:t>
      </w:r>
    </w:p>
    <w:p w:rsidR="000F5280" w:rsidRPr="006C4394" w:rsidRDefault="00F5508E" w:rsidP="005D09F0">
      <w:pPr>
        <w:pStyle w:val="Unnumberedparagraph"/>
      </w:pPr>
      <w:r>
        <w:t xml:space="preserve">As with risks to the environment, it is for you </w:t>
      </w:r>
      <w:r w:rsidR="00BC2A4A">
        <w:t>to judge whe</w:t>
      </w:r>
      <w:r>
        <w:t xml:space="preserve">ther </w:t>
      </w:r>
      <w:r w:rsidR="00BC2A4A">
        <w:t>these risk assessments should be in writing</w:t>
      </w:r>
      <w:r w:rsidR="006D2EB8">
        <w:t xml:space="preserve"> and how often they need to be reviewed an</w:t>
      </w:r>
      <w:r w:rsidR="001B218A">
        <w:t>d</w:t>
      </w:r>
      <w:r w:rsidR="006D2EB8">
        <w:t xml:space="preserve"> updated</w:t>
      </w:r>
      <w:r w:rsidR="00BC2A4A">
        <w:t xml:space="preserve">. </w:t>
      </w:r>
      <w:r w:rsidR="000F5280">
        <w:t xml:space="preserve">How you decide on what needs to be written, what needs to be checked and how often it is reviewed is very much </w:t>
      </w:r>
      <w:r w:rsidR="00524EB7">
        <w:t>up</w:t>
      </w:r>
      <w:r w:rsidR="000F5280">
        <w:t xml:space="preserve"> to you but you may wish to take into account:</w:t>
      </w:r>
    </w:p>
    <w:p w:rsidR="006D2EB8" w:rsidRDefault="006D2EB8" w:rsidP="005D09F0">
      <w:pPr>
        <w:pStyle w:val="Bulletsspaced"/>
      </w:pPr>
      <w:r>
        <w:t>t</w:t>
      </w:r>
      <w:r w:rsidR="000F5280">
        <w:t>he type of outing and how regularly you carry it out</w:t>
      </w:r>
      <w:r w:rsidR="001B218A">
        <w:t xml:space="preserve"> –</w:t>
      </w:r>
      <w:r w:rsidR="000F5280">
        <w:t xml:space="preserve"> </w:t>
      </w:r>
      <w:r w:rsidR="001B218A">
        <w:t>a</w:t>
      </w:r>
      <w:r w:rsidR="000F5280">
        <w:t xml:space="preserve"> regular trip to </w:t>
      </w:r>
      <w:r w:rsidR="000F5280">
        <w:rPr>
          <w:lang w:eastAsia="en-GB"/>
        </w:rPr>
        <w:t>the local park or shops need</w:t>
      </w:r>
      <w:r>
        <w:rPr>
          <w:lang w:eastAsia="en-GB"/>
        </w:rPr>
        <w:t>s</w:t>
      </w:r>
      <w:r w:rsidR="000F5280">
        <w:rPr>
          <w:lang w:eastAsia="en-GB"/>
        </w:rPr>
        <w:t xml:space="preserve"> </w:t>
      </w:r>
      <w:r w:rsidR="000F5280" w:rsidRPr="0087339D">
        <w:t>a risk</w:t>
      </w:r>
      <w:r w:rsidR="000F5280">
        <w:t xml:space="preserve"> assessment before you make such an outing</w:t>
      </w:r>
      <w:r w:rsidR="001B218A">
        <w:t xml:space="preserve"> for the first time</w:t>
      </w:r>
      <w:r w:rsidR="006C4394">
        <w:t>,</w:t>
      </w:r>
      <w:r w:rsidR="000F5280">
        <w:t xml:space="preserve"> but thereafter you</w:t>
      </w:r>
      <w:r w:rsidR="000F5280" w:rsidRPr="00577644">
        <w:t xml:space="preserve"> need only consider the risks for the outing and </w:t>
      </w:r>
      <w:r w:rsidR="000F5280">
        <w:t xml:space="preserve">your measures to </w:t>
      </w:r>
      <w:r w:rsidR="000F5280" w:rsidRPr="00577644">
        <w:t>counteract them</w:t>
      </w:r>
      <w:r w:rsidR="000F5280">
        <w:t>, such as your arrangements for first aid and how to contact the children’s parents</w:t>
      </w:r>
      <w:r w:rsidR="001B218A">
        <w:t>;</w:t>
      </w:r>
      <w:r w:rsidRPr="006D2EB8">
        <w:t xml:space="preserve"> </w:t>
      </w:r>
      <w:r w:rsidR="001B218A">
        <w:t>a</w:t>
      </w:r>
      <w:r>
        <w:t xml:space="preserve"> </w:t>
      </w:r>
      <w:r w:rsidRPr="00577644">
        <w:t>one-off outing</w:t>
      </w:r>
      <w:r>
        <w:t>, such as a trip t</w:t>
      </w:r>
      <w:r w:rsidRPr="00577644">
        <w:t>o the beach for the day</w:t>
      </w:r>
      <w:r>
        <w:t>,</w:t>
      </w:r>
      <w:r w:rsidRPr="00577644">
        <w:t xml:space="preserve"> </w:t>
      </w:r>
      <w:r>
        <w:t>will</w:t>
      </w:r>
      <w:r w:rsidRPr="00577644">
        <w:t xml:space="preserve"> </w:t>
      </w:r>
      <w:r>
        <w:t xml:space="preserve">have different risks and will </w:t>
      </w:r>
      <w:r w:rsidRPr="00577644">
        <w:t xml:space="preserve">need </w:t>
      </w:r>
      <w:r>
        <w:t xml:space="preserve">its own </w:t>
      </w:r>
      <w:r w:rsidRPr="00577644">
        <w:t>risk assessment</w:t>
      </w:r>
    </w:p>
    <w:p w:rsidR="000F5280" w:rsidRPr="001911DE" w:rsidRDefault="006D2EB8" w:rsidP="005D09F0">
      <w:pPr>
        <w:pStyle w:val="Bulletsspaced"/>
      </w:pPr>
      <w:r>
        <w:t>the adults accompanying the children and whether these are the same for each outing or change regularly</w:t>
      </w:r>
    </w:p>
    <w:p w:rsidR="006D2EB8" w:rsidRPr="001911DE" w:rsidRDefault="006D2EB8" w:rsidP="005D09F0">
      <w:pPr>
        <w:pStyle w:val="Bulletsspaced"/>
      </w:pPr>
      <w:r>
        <w:t>th</w:t>
      </w:r>
      <w:r w:rsidR="000F5280">
        <w:t>e type of activit</w:t>
      </w:r>
      <w:r w:rsidR="001B218A">
        <w:t xml:space="preserve">y or activities </w:t>
      </w:r>
      <w:r w:rsidR="000F5280">
        <w:t>involved</w:t>
      </w:r>
      <w:r>
        <w:t xml:space="preserve">, for example more adults may be needed to supervise a swimming activity than a walk round </w:t>
      </w:r>
      <w:r w:rsidR="001B218A">
        <w:t xml:space="preserve">a </w:t>
      </w:r>
      <w:r>
        <w:t>nearby field</w:t>
      </w:r>
    </w:p>
    <w:p w:rsidR="006D2EB8" w:rsidRPr="001911DE" w:rsidRDefault="006D2EB8" w:rsidP="005D09F0">
      <w:pPr>
        <w:pStyle w:val="Bulletsspaced"/>
      </w:pPr>
      <w:r>
        <w:t xml:space="preserve">the ages of the children on the outing and how children </w:t>
      </w:r>
      <w:r w:rsidR="001B218A">
        <w:t xml:space="preserve">of different ages </w:t>
      </w:r>
      <w:r>
        <w:t xml:space="preserve">may change any associated risks </w:t>
      </w:r>
    </w:p>
    <w:p w:rsidR="006D2EB8" w:rsidRDefault="006D2EB8" w:rsidP="005D09F0">
      <w:pPr>
        <w:pStyle w:val="Bulletsspaced-lastbullet"/>
      </w:pPr>
      <w:r>
        <w:t xml:space="preserve">the time of the day of the outing and whether this changes the risks, for example traffic levels during the rush hour. </w:t>
      </w:r>
    </w:p>
    <w:p w:rsidR="00DC7E4F" w:rsidRPr="005C5951" w:rsidRDefault="00B11528" w:rsidP="005D09F0">
      <w:pPr>
        <w:pStyle w:val="Heading1"/>
      </w:pPr>
      <w:r>
        <w:t>In</w:t>
      </w:r>
      <w:r w:rsidR="00DC7E4F" w:rsidRPr="005C5951">
        <w:t xml:space="preserve">specting </w:t>
      </w:r>
      <w:r w:rsidR="00F1700F">
        <w:t>risk assessments</w:t>
      </w:r>
    </w:p>
    <w:p w:rsidR="00F1700F" w:rsidRPr="0069662B" w:rsidRDefault="000E789C" w:rsidP="005D09F0">
      <w:pPr>
        <w:pStyle w:val="Unnumberedparagraph"/>
        <w:rPr>
          <w:rFonts w:ascii="Times New Roman" w:hAnsi="Times New Roman"/>
          <w:lang w:eastAsia="en-GB"/>
        </w:rPr>
      </w:pPr>
      <w:r>
        <w:t xml:space="preserve">Inspectors </w:t>
      </w:r>
      <w:r w:rsidR="00F5508E">
        <w:t xml:space="preserve">will </w:t>
      </w:r>
      <w:r>
        <w:t>always consider whether the procedures you have in place are sufficient to reduce or eliminate risks</w:t>
      </w:r>
      <w:r w:rsidR="00524EB7">
        <w:t>,</w:t>
      </w:r>
      <w:r>
        <w:t xml:space="preserve"> through discussions with the </w:t>
      </w:r>
      <w:r w:rsidR="0069662B">
        <w:t xml:space="preserve">childminder or in group settings with the </w:t>
      </w:r>
      <w:r>
        <w:t>manager</w:t>
      </w:r>
      <w:r w:rsidR="0069662B">
        <w:t xml:space="preserve"> and staff</w:t>
      </w:r>
      <w:r>
        <w:t>, and through a tour of the premises. Inspectors may ask to see your policy or any recorded assessments</w:t>
      </w:r>
      <w:r w:rsidR="009146B0">
        <w:t>,</w:t>
      </w:r>
      <w:r>
        <w:t xml:space="preserve"> especially where they </w:t>
      </w:r>
      <w:r w:rsidR="00F21174" w:rsidRPr="007C20CD">
        <w:t>identify risks associated with your premises</w:t>
      </w:r>
      <w:r w:rsidR="00F1700F">
        <w:t>, or where we have received information related to the safety of the premises that prompts an inspection</w:t>
      </w:r>
      <w:r w:rsidR="00F21174" w:rsidRPr="007C20CD">
        <w:t xml:space="preserve">. </w:t>
      </w:r>
      <w:r w:rsidR="0069662B" w:rsidRPr="0069662B">
        <w:rPr>
          <w:rFonts w:cs="Tahoma"/>
          <w:color w:val="auto"/>
          <w:lang w:eastAsia="en-GB"/>
        </w:rPr>
        <w:t xml:space="preserve">Childminders do not need to have a written policy but must still be able to demonstrate to inspectors how they identify and manage </w:t>
      </w:r>
      <w:r w:rsidR="00524EB7">
        <w:rPr>
          <w:rFonts w:cs="Tahoma"/>
          <w:color w:val="auto"/>
          <w:lang w:eastAsia="en-GB"/>
        </w:rPr>
        <w:t xml:space="preserve">the </w:t>
      </w:r>
      <w:r w:rsidR="0069662B" w:rsidRPr="0069662B">
        <w:rPr>
          <w:rFonts w:cs="Tahoma"/>
          <w:color w:val="auto"/>
          <w:lang w:eastAsia="en-GB"/>
        </w:rPr>
        <w:t>risks associated with their provision and any outings they undertake.</w:t>
      </w:r>
      <w:r w:rsidR="0069662B">
        <w:rPr>
          <w:rFonts w:ascii="Times New Roman" w:hAnsi="Times New Roman"/>
          <w:color w:val="0000FF"/>
          <w:lang w:eastAsia="en-GB"/>
        </w:rPr>
        <w:t xml:space="preserve"> </w:t>
      </w:r>
    </w:p>
    <w:p w:rsidR="005C5951" w:rsidRPr="000F5280" w:rsidRDefault="001D04A9" w:rsidP="005D09F0">
      <w:pPr>
        <w:pStyle w:val="Unnumberedparagraph"/>
      </w:pPr>
      <w:r>
        <w:t>You</w:t>
      </w:r>
      <w:r w:rsidR="0051756F">
        <w:t xml:space="preserve"> are most likely to be judged as inadequate </w:t>
      </w:r>
      <w:r>
        <w:t>if you are not able to</w:t>
      </w:r>
      <w:r w:rsidR="0051756F">
        <w:t xml:space="preserve"> demonstrate that </w:t>
      </w:r>
      <w:r w:rsidR="001E5ADC">
        <w:t>you</w:t>
      </w:r>
      <w:r w:rsidR="00DC7E4F">
        <w:t xml:space="preserve"> understand and manage risks well</w:t>
      </w:r>
      <w:r w:rsidR="000E789C">
        <w:t xml:space="preserve">, regardless of whether </w:t>
      </w:r>
      <w:r w:rsidR="009146B0">
        <w:t xml:space="preserve">or not </w:t>
      </w:r>
      <w:r w:rsidR="000E789C">
        <w:t xml:space="preserve">you record these. You </w:t>
      </w:r>
      <w:r w:rsidR="000E789C" w:rsidRPr="000F5280">
        <w:t>cannot be judged as outstanding or good if you fail to meet the legal requirements for risk assessments</w:t>
      </w:r>
      <w:r w:rsidR="000F5280" w:rsidRPr="000F5280">
        <w:t xml:space="preserve">. </w:t>
      </w:r>
      <w:r w:rsidR="009D254C" w:rsidRPr="000F5280">
        <w:t>We will always raise an action, or take other enforcement action, where the legal requirements for risk assessments are not met.</w:t>
      </w:r>
      <w:r w:rsidR="000F643F">
        <w:t xml:space="preserve"> </w:t>
      </w:r>
    </w:p>
    <w:p w:rsidR="00EA1411" w:rsidRDefault="00EA1411" w:rsidP="005D09F0">
      <w:pPr>
        <w:pStyle w:val="Heading1"/>
      </w:pPr>
      <w:r>
        <w:t xml:space="preserve">More </w:t>
      </w:r>
      <w:r w:rsidRPr="005D09F0">
        <w:t>information</w:t>
      </w:r>
      <w:r>
        <w:t xml:space="preserve"> </w:t>
      </w:r>
    </w:p>
    <w:p w:rsidR="00835EDF" w:rsidRDefault="00133DD3" w:rsidP="005D09F0">
      <w:pPr>
        <w:pStyle w:val="Unnumberedparagraph"/>
      </w:pPr>
      <w:r>
        <w:t>You may find t</w:t>
      </w:r>
      <w:r w:rsidR="00835EDF">
        <w:t>he</w:t>
      </w:r>
      <w:r w:rsidR="00261CED">
        <w:t xml:space="preserve"> following documents </w:t>
      </w:r>
      <w:r w:rsidR="001911DE">
        <w:t>helpful</w:t>
      </w:r>
      <w:r w:rsidR="00261CED">
        <w:t>:</w:t>
      </w:r>
    </w:p>
    <w:p w:rsidR="00133DD3" w:rsidRPr="00D539D1" w:rsidRDefault="00133DD3" w:rsidP="005D09F0">
      <w:pPr>
        <w:pStyle w:val="Unnumberedparagraph"/>
      </w:pPr>
      <w:r w:rsidRPr="005C2185">
        <w:rPr>
          <w:i/>
        </w:rPr>
        <w:lastRenderedPageBreak/>
        <w:t>Statutory framework for the Early Years Foundation Stage</w:t>
      </w:r>
      <w:r>
        <w:t xml:space="preserve">, Department for Education, 2012; </w:t>
      </w:r>
      <w:hyperlink r:id="rId13" w:history="1">
        <w:r w:rsidR="00D539D1" w:rsidRPr="00033529">
          <w:rPr>
            <w:rStyle w:val="Hyperlink"/>
            <w:u w:val="none"/>
          </w:rPr>
          <w:t>www.education.gov.uk/schools/teachingandlearning/curriculum/a0068102/early-years-foundation-stage-eyfs</w:t>
        </w:r>
      </w:hyperlink>
    </w:p>
    <w:p w:rsidR="009146B0" w:rsidRDefault="009146B0" w:rsidP="005D09F0">
      <w:pPr>
        <w:pStyle w:val="Unnumberedparagraph"/>
        <w:spacing w:after="120" w:line="320" w:lineRule="exact"/>
      </w:pPr>
      <w:r>
        <w:rPr>
          <w:i/>
        </w:rPr>
        <w:t>Conducting early years inspections</w:t>
      </w:r>
      <w:r>
        <w:t xml:space="preserve">, Ofsted, 2012; </w:t>
      </w:r>
    </w:p>
    <w:p w:rsidR="009873D0" w:rsidRPr="00033529" w:rsidRDefault="009146B0" w:rsidP="005D09F0">
      <w:pPr>
        <w:pStyle w:val="Unnumberedparagraph"/>
        <w:spacing w:after="120" w:line="320" w:lineRule="exact"/>
      </w:pPr>
      <w:hyperlink r:id="rId14" w:history="1">
        <w:r w:rsidR="00033529">
          <w:rPr>
            <w:rStyle w:val="Hyperlink"/>
            <w:u w:val="none"/>
          </w:rPr>
          <w:t>www.ofsted.gov.uk/resources/120087</w:t>
        </w:r>
      </w:hyperlink>
    </w:p>
    <w:p w:rsidR="009146B0" w:rsidRDefault="009146B0" w:rsidP="005D09F0">
      <w:pPr>
        <w:pStyle w:val="Unnumberedparagraph"/>
        <w:spacing w:after="120" w:line="320" w:lineRule="exact"/>
      </w:pPr>
      <w:r w:rsidRPr="005C2185">
        <w:rPr>
          <w:i/>
        </w:rPr>
        <w:t>Evaluation schedule for inspections of registered early years provision</w:t>
      </w:r>
      <w:r>
        <w:t>, Ofsted, 2012;</w:t>
      </w:r>
    </w:p>
    <w:p w:rsidR="009873D0" w:rsidRPr="00033529" w:rsidRDefault="009146B0" w:rsidP="005D09F0">
      <w:pPr>
        <w:pStyle w:val="Unnumberedparagraph"/>
        <w:spacing w:after="120" w:line="320" w:lineRule="exact"/>
      </w:pPr>
      <w:hyperlink r:id="rId15" w:history="1">
        <w:r w:rsidR="00033529">
          <w:rPr>
            <w:rStyle w:val="Hyperlink"/>
            <w:u w:val="none"/>
          </w:rPr>
          <w:t>www.ofsted.gov.uk/resources/120086</w:t>
        </w:r>
      </w:hyperlink>
      <w:r w:rsidRPr="00033529" w:rsidDel="009146B0">
        <w:t xml:space="preserve"> </w:t>
      </w:r>
    </w:p>
    <w:p w:rsidR="00261CED" w:rsidRDefault="00261CED" w:rsidP="00EA1411">
      <w:pPr>
        <w:pStyle w:val="Unnumberedparagraph"/>
        <w:spacing w:after="0" w:line="320" w:lineRule="exact"/>
        <w:rPr>
          <w:rFonts w:cs="Tahoma"/>
        </w:rPr>
      </w:pPr>
    </w:p>
    <w:p w:rsidR="00261CED" w:rsidRPr="00261CED" w:rsidRDefault="00261CED" w:rsidP="00EA1411">
      <w:pPr>
        <w:pStyle w:val="Unnumberedparagraph"/>
        <w:spacing w:after="0" w:line="320" w:lineRule="exact"/>
        <w:sectPr w:rsidR="00261CED" w:rsidRPr="00261CED" w:rsidSect="00C50FD7">
          <w:headerReference w:type="default" r:id="rId16"/>
          <w:footerReference w:type="default" r:id="rId17"/>
          <w:type w:val="continuous"/>
          <w:pgSz w:w="11899" w:h="16838"/>
          <w:pgMar w:top="1871" w:right="1418" w:bottom="1134" w:left="1418" w:header="567" w:footer="567" w:gutter="0"/>
          <w:cols w:space="708"/>
        </w:sectPr>
      </w:pPr>
    </w:p>
    <w:p w:rsidR="002E3A6A" w:rsidRPr="00EA1411" w:rsidRDefault="002E3A6A" w:rsidP="00EA1411">
      <w:pPr>
        <w:pStyle w:val="Unnumberedparagraph"/>
        <w:spacing w:after="0" w:line="320" w:lineRule="exact"/>
        <w:rPr>
          <w:lang w:eastAsia="en-GB"/>
        </w:rPr>
      </w:pPr>
    </w:p>
    <w:sectPr w:rsidR="002E3A6A" w:rsidRPr="00EA1411" w:rsidSect="00913FFB">
      <w:headerReference w:type="even" r:id="rId18"/>
      <w:headerReference w:type="default" r:id="rId19"/>
      <w:footerReference w:type="even" r:id="rId20"/>
      <w:footerReference w:type="default" r:id="rId21"/>
      <w:pgSz w:w="11899" w:h="16838"/>
      <w:pgMar w:top="1871" w:right="1418" w:bottom="1134" w:left="1418" w:header="567" w:footer="56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F1A" w:rsidRDefault="00BB4F1A">
      <w:pPr>
        <w:pStyle w:val="Tabletext-left"/>
      </w:pPr>
      <w:r>
        <w:separator/>
      </w:r>
    </w:p>
    <w:p w:rsidR="00BB4F1A" w:rsidRDefault="00BB4F1A"/>
    <w:p w:rsidR="00BB4F1A" w:rsidRDefault="00BB4F1A"/>
  </w:endnote>
  <w:endnote w:type="continuationSeparator" w:id="0">
    <w:p w:rsidR="00BB4F1A" w:rsidRDefault="00BB4F1A">
      <w:pPr>
        <w:pStyle w:val="Tabletext-left"/>
      </w:pPr>
      <w:r>
        <w:continuationSeparator/>
      </w:r>
    </w:p>
    <w:p w:rsidR="00BB4F1A" w:rsidRDefault="00BB4F1A"/>
    <w:p w:rsidR="00BB4F1A" w:rsidRDefault="00BB4F1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529" w:rsidRDefault="00033529" w:rsidP="009C021D">
    <w:pPr>
      <w:pStyle w:val="Header"/>
      <w:framePr w:h="522" w:hRule="exact" w:wrap="around" w:vAnchor="text" w:hAnchor="margin" w:x="1" w:y="1"/>
      <w:pBdr>
        <w:bottom w:val="none" w:sz="0" w:space="0" w:color="auto"/>
      </w:pBdr>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sidR="007F4A5F">
      <w:rPr>
        <w:rStyle w:val="PageNumber"/>
        <w:b w:val="0"/>
        <w:noProof/>
      </w:rPr>
      <w:t>4</w:t>
    </w:r>
    <w:r>
      <w:rPr>
        <w:rStyle w:val="PageNumber"/>
        <w:b w:val="0"/>
      </w:rPr>
      <w:fldChar w:fldCharType="end"/>
    </w:r>
  </w:p>
  <w:p w:rsidR="00033529" w:rsidRPr="00DE1F4D" w:rsidRDefault="00033529" w:rsidP="00855019">
    <w:pPr>
      <w:pStyle w:val="Footer-LHSEven"/>
      <w:tabs>
        <w:tab w:val="left" w:pos="720"/>
      </w:tabs>
      <w:jc w:val="right"/>
    </w:pPr>
    <w:r>
      <w:tab/>
    </w:r>
    <w:r>
      <w:tab/>
      <w:t>Requirements for risk assessments</w:t>
    </w:r>
    <w:r>
      <w:br/>
      <w:t>November 2012 No.120334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529" w:rsidRPr="00B57D48" w:rsidRDefault="00033529" w:rsidP="0006168D"/>
  <w:p w:rsidR="00033529" w:rsidRDefault="0003352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A8D" w:rsidRDefault="006E3A8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529" w:rsidRPr="007330D1" w:rsidRDefault="00033529" w:rsidP="000804BE">
    <w:pPr>
      <w:framePr w:h="550" w:hRule="exact" w:wrap="around" w:vAnchor="text" w:hAnchor="margin" w:xAlign="right" w:y="1"/>
      <w:tabs>
        <w:tab w:val="center" w:pos="4320"/>
        <w:tab w:val="right" w:pos="8640"/>
      </w:tabs>
      <w:spacing w:line="200" w:lineRule="exact"/>
      <w:jc w:val="right"/>
      <w:rPr>
        <w:position w:val="-24"/>
        <w:sz w:val="40"/>
        <w:szCs w:val="40"/>
      </w:rPr>
    </w:pPr>
    <w:r w:rsidRPr="007330D1">
      <w:rPr>
        <w:position w:val="-24"/>
        <w:sz w:val="40"/>
        <w:szCs w:val="40"/>
      </w:rPr>
      <w:fldChar w:fldCharType="begin"/>
    </w:r>
    <w:r w:rsidRPr="007330D1">
      <w:rPr>
        <w:position w:val="-24"/>
        <w:sz w:val="40"/>
        <w:szCs w:val="40"/>
      </w:rPr>
      <w:instrText xml:space="preserve">PAGE  </w:instrText>
    </w:r>
    <w:r w:rsidRPr="007330D1">
      <w:rPr>
        <w:position w:val="-24"/>
        <w:sz w:val="40"/>
        <w:szCs w:val="40"/>
      </w:rPr>
      <w:fldChar w:fldCharType="separate"/>
    </w:r>
    <w:r w:rsidR="007F4A5F">
      <w:rPr>
        <w:noProof/>
        <w:position w:val="-24"/>
        <w:sz w:val="40"/>
        <w:szCs w:val="40"/>
      </w:rPr>
      <w:t>3</w:t>
    </w:r>
    <w:r w:rsidRPr="007330D1">
      <w:rPr>
        <w:position w:val="-24"/>
        <w:sz w:val="40"/>
        <w:szCs w:val="40"/>
      </w:rPr>
      <w:fldChar w:fldCharType="end"/>
    </w:r>
  </w:p>
  <w:p w:rsidR="00033529" w:rsidRDefault="00033529" w:rsidP="00C96502">
    <w:pPr>
      <w:pStyle w:val="Footer-RHSOdd"/>
    </w:pPr>
    <w:r>
      <w:t>Requirements for risk assessments</w:t>
    </w:r>
    <w:r>
      <w:br/>
      <w:t>November 2012</w:t>
    </w:r>
    <w:r w:rsidR="00EA09B1">
      <w:t xml:space="preserve"> No. </w:t>
    </w:r>
    <w:r>
      <w:t>120334</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4882"/>
      <w:gridCol w:w="4397"/>
    </w:tblGrid>
    <w:tr w:rsidR="00033529">
      <w:tblPrEx>
        <w:tblCellMar>
          <w:top w:w="0" w:type="dxa"/>
          <w:bottom w:w="0" w:type="dxa"/>
        </w:tblCellMar>
      </w:tblPrEx>
      <w:trPr>
        <w:cantSplit/>
        <w:trHeight w:val="2970"/>
      </w:trPr>
      <w:tc>
        <w:tcPr>
          <w:tcW w:w="9279" w:type="dxa"/>
          <w:gridSpan w:val="2"/>
        </w:tcPr>
        <w:p w:rsidR="00033529" w:rsidRPr="005C7207" w:rsidRDefault="00033529" w:rsidP="007A01AC">
          <w:pPr>
            <w:pStyle w:val="Copyright"/>
            <w:rPr>
              <w:color w:val="auto"/>
            </w:rPr>
          </w:pPr>
          <w:r w:rsidRPr="005C7207">
            <w:rPr>
              <w:color w:val="auto"/>
            </w:rPr>
            <w:t xml:space="preserve">The Office for Standards in Education, Children's Services and Skills (Ofsted) regulates and inspects </w:t>
          </w:r>
          <w:r w:rsidRPr="005C7207">
            <w:rPr>
              <w:rFonts w:cs="Tahoma"/>
              <w:color w:val="auto"/>
              <w:lang/>
            </w:rPr>
            <w:t>to achieve excellence in the care of children and young people, and in education and skills for learners of all ages. It regulates and inspects</w:t>
          </w:r>
          <w:r w:rsidRPr="005C7207">
            <w:rPr>
              <w:color w:val="auto"/>
            </w:rPr>
            <w:t xml:space="preserve"> childcare and children's social care, and inspects </w:t>
          </w:r>
          <w:r w:rsidRPr="005C7207">
            <w:rPr>
              <w:rFonts w:cs="Tahoma"/>
            </w:rPr>
            <w:t xml:space="preserve">the </w:t>
          </w:r>
          <w:r w:rsidRPr="005C7207">
            <w:t>Children and Family Court Advisory Support Service (</w:t>
          </w:r>
          <w:r w:rsidRPr="005C7207">
            <w:rPr>
              <w:color w:val="auto"/>
            </w:rPr>
            <w:t>Cafcass), schools, colleges, initial teacher training, work-based learning and skills training, adult and community learning, and education and training in prisons and other secure establishments. It assesses council children’s services, and inspects services for looked after children, safeguarding and child protection.</w:t>
          </w:r>
        </w:p>
        <w:p w:rsidR="00033529" w:rsidRPr="005C7207" w:rsidRDefault="00033529" w:rsidP="007A01AC">
          <w:pPr>
            <w:pStyle w:val="Copyright"/>
          </w:pPr>
          <w:r w:rsidRPr="005C7207">
            <w:t xml:space="preserve">If you would like a copy of this document in a different format, such as large print or Braille, please telephone 0300 123 1231, or email </w:t>
          </w:r>
          <w:r w:rsidRPr="005C7207">
            <w:rPr>
              <w:rStyle w:val="Hyperlink"/>
              <w:u w:val="none"/>
            </w:rPr>
            <w:t>enquiries@ofsted.gov.uk</w:t>
          </w:r>
          <w:r w:rsidRPr="005C7207">
            <w:t>.</w:t>
          </w:r>
        </w:p>
        <w:p w:rsidR="00033529" w:rsidRPr="005C7207" w:rsidRDefault="00033529" w:rsidP="007A01AC">
          <w:pPr>
            <w:pStyle w:val="Copyright"/>
          </w:pPr>
          <w:r w:rsidRPr="005C7207">
            <w:t>You may copy all or parts of this document for non-commercial educational purposes, as long as you give details of the source and date of publication and do not alter the information in any way.</w:t>
          </w:r>
        </w:p>
        <w:p w:rsidR="00033529" w:rsidRPr="005C7207" w:rsidRDefault="00033529" w:rsidP="007A01AC">
          <w:pPr>
            <w:pStyle w:val="Copyright"/>
            <w:rPr>
              <w:noProof/>
            </w:rPr>
          </w:pPr>
          <w:r w:rsidRPr="005C7207">
            <w:rPr>
              <w:rFonts w:cs="Tahoma"/>
              <w:color w:val="auto"/>
              <w:lang w:eastAsia="en-GB"/>
            </w:rPr>
            <w:t>To receive regular email alerts about new publications, including survey reports and school inspection reports, please visit our website and go to ‘Subscribe’.</w:t>
          </w:r>
        </w:p>
      </w:tc>
    </w:tr>
    <w:tr w:rsidR="00033529">
      <w:tblPrEx>
        <w:tblCellMar>
          <w:top w:w="0" w:type="dxa"/>
          <w:bottom w:w="0" w:type="dxa"/>
        </w:tblCellMar>
      </w:tblPrEx>
      <w:trPr>
        <w:cantSplit/>
      </w:trPr>
      <w:tc>
        <w:tcPr>
          <w:tcW w:w="4882" w:type="dxa"/>
        </w:tcPr>
        <w:p w:rsidR="00033529" w:rsidRPr="005C7207" w:rsidRDefault="00033529" w:rsidP="007A01AC">
          <w:pPr>
            <w:pStyle w:val="Copyright"/>
            <w:spacing w:after="0"/>
          </w:pPr>
          <w:r w:rsidRPr="005C7207">
            <w:t>Royal Exchange Buildings</w:t>
          </w:r>
        </w:p>
        <w:p w:rsidR="00033529" w:rsidRPr="005C7207" w:rsidRDefault="00033529" w:rsidP="007A01AC">
          <w:pPr>
            <w:pStyle w:val="Copyright"/>
            <w:spacing w:after="0"/>
          </w:pPr>
          <w:smartTag w:uri="urn:schemas-microsoft-com:office:smarttags" w:element="City">
            <w:smartTag w:uri="urn:schemas-microsoft-com:office:smarttags" w:element="place">
              <w:r w:rsidRPr="005C7207">
                <w:t>St Ann</w:t>
              </w:r>
            </w:smartTag>
          </w:smartTag>
          <w:r w:rsidRPr="005C7207">
            <w:t>’s Square</w:t>
          </w:r>
        </w:p>
        <w:p w:rsidR="00033529" w:rsidRPr="005D09F0" w:rsidRDefault="00033529" w:rsidP="007A01AC">
          <w:pPr>
            <w:pStyle w:val="Copyright"/>
            <w:spacing w:after="0"/>
            <w:rPr>
              <w:lang w:val="fr-FR"/>
            </w:rPr>
          </w:pPr>
          <w:r w:rsidRPr="005D09F0">
            <w:rPr>
              <w:lang w:val="fr-FR"/>
            </w:rPr>
            <w:t>Manchester</w:t>
          </w:r>
        </w:p>
        <w:p w:rsidR="00033529" w:rsidRPr="005D09F0" w:rsidRDefault="00033529" w:rsidP="007A01AC">
          <w:pPr>
            <w:pStyle w:val="Copyright"/>
            <w:spacing w:after="0"/>
            <w:rPr>
              <w:lang w:val="fr-FR"/>
            </w:rPr>
          </w:pPr>
          <w:r w:rsidRPr="005D09F0">
            <w:rPr>
              <w:lang w:val="fr-FR"/>
            </w:rPr>
            <w:t>M2 7LA</w:t>
          </w:r>
        </w:p>
        <w:p w:rsidR="00033529" w:rsidRPr="005D09F0" w:rsidRDefault="00033529" w:rsidP="007A01AC">
          <w:pPr>
            <w:pStyle w:val="Copyright"/>
            <w:spacing w:after="0"/>
            <w:rPr>
              <w:lang w:val="fr-FR"/>
            </w:rPr>
          </w:pPr>
        </w:p>
        <w:p w:rsidR="00033529" w:rsidRPr="005D09F0" w:rsidRDefault="00033529" w:rsidP="007A01AC">
          <w:pPr>
            <w:pStyle w:val="Copyright"/>
            <w:spacing w:after="0"/>
            <w:rPr>
              <w:lang w:val="fr-FR"/>
            </w:rPr>
          </w:pPr>
          <w:r w:rsidRPr="005D09F0">
            <w:rPr>
              <w:lang w:val="fr-FR"/>
            </w:rPr>
            <w:t>T: 0300 123 1231</w:t>
          </w:r>
        </w:p>
        <w:p w:rsidR="00033529" w:rsidRPr="005D09F0" w:rsidRDefault="00033529" w:rsidP="007A01AC">
          <w:pPr>
            <w:pStyle w:val="Copyright"/>
            <w:spacing w:after="0"/>
            <w:rPr>
              <w:lang w:val="fr-FR"/>
            </w:rPr>
          </w:pPr>
          <w:r w:rsidRPr="005D09F0">
            <w:rPr>
              <w:lang w:val="fr-FR"/>
            </w:rPr>
            <w:t>Textphone: 0161 618 8524</w:t>
          </w:r>
        </w:p>
        <w:p w:rsidR="00033529" w:rsidRPr="005C7207" w:rsidRDefault="00033529" w:rsidP="007A01AC">
          <w:pPr>
            <w:pStyle w:val="Copyright"/>
            <w:spacing w:after="0"/>
          </w:pPr>
          <w:r w:rsidRPr="005C7207">
            <w:t xml:space="preserve">E: </w:t>
          </w:r>
          <w:r w:rsidRPr="005C7207">
            <w:rPr>
              <w:rStyle w:val="Hyperlink"/>
              <w:u w:val="none"/>
            </w:rPr>
            <w:t>enquiries@ofsted.gov.uk</w:t>
          </w:r>
        </w:p>
        <w:p w:rsidR="00033529" w:rsidRPr="005C7207" w:rsidRDefault="00033529" w:rsidP="007A01AC">
          <w:pPr>
            <w:pStyle w:val="Copyright"/>
          </w:pPr>
          <w:r w:rsidRPr="005C7207">
            <w:t xml:space="preserve">W: </w:t>
          </w:r>
          <w:hyperlink r:id="rId1" w:history="1">
            <w:r w:rsidRPr="005C7207">
              <w:rPr>
                <w:rStyle w:val="Hyperlink"/>
                <w:u w:val="none"/>
              </w:rPr>
              <w:t>www.ofsted.gov.uk</w:t>
            </w:r>
          </w:hyperlink>
        </w:p>
        <w:p w:rsidR="00033529" w:rsidRPr="005C7207" w:rsidRDefault="00033529" w:rsidP="007A01AC">
          <w:pPr>
            <w:pStyle w:val="Copyright"/>
          </w:pPr>
          <w:r w:rsidRPr="005C7207">
            <w:t xml:space="preserve">No. </w:t>
          </w:r>
          <w:r>
            <w:t>100108</w:t>
          </w:r>
        </w:p>
      </w:tc>
      <w:tc>
        <w:tcPr>
          <w:tcW w:w="4397" w:type="dxa"/>
        </w:tcPr>
        <w:p w:rsidR="00033529" w:rsidRPr="005C7207" w:rsidRDefault="007F4A5F" w:rsidP="007A01AC">
          <w:pPr>
            <w:pStyle w:val="Footer"/>
            <w:spacing w:after="120"/>
          </w:pPr>
          <w:r>
            <w:rPr>
              <w:noProof/>
              <w:lang w:eastAsia="en-GB"/>
            </w:rPr>
            <w:drawing>
              <wp:anchor distT="0" distB="0" distL="114300" distR="114300" simplePos="0" relativeHeight="251658752" behindDoc="0" locked="1" layoutInCell="0" allowOverlap="0">
                <wp:simplePos x="0" y="0"/>
                <wp:positionH relativeFrom="page">
                  <wp:posOffset>5832475</wp:posOffset>
                </wp:positionH>
                <wp:positionV relativeFrom="page">
                  <wp:posOffset>8893175</wp:posOffset>
                </wp:positionV>
                <wp:extent cx="1296035" cy="652145"/>
                <wp:effectExtent l="19050" t="0" r="0" b="0"/>
                <wp:wrapNone/>
                <wp:docPr id="4" name="Picture 4"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fsted_Logo_Black_RGB"/>
                        <pic:cNvPicPr>
                          <a:picLocks noChangeAspect="1" noChangeArrowheads="1"/>
                        </pic:cNvPicPr>
                      </pic:nvPicPr>
                      <pic:blipFill>
                        <a:blip r:embed="rId2"/>
                        <a:srcRect/>
                        <a:stretch>
                          <a:fillRect/>
                        </a:stretch>
                      </pic:blipFill>
                      <pic:spPr bwMode="auto">
                        <a:xfrm>
                          <a:off x="0" y="0"/>
                          <a:ext cx="1296035" cy="652145"/>
                        </a:xfrm>
                        <a:prstGeom prst="rect">
                          <a:avLst/>
                        </a:prstGeom>
                        <a:noFill/>
                        <a:ln w="9525">
                          <a:noFill/>
                          <a:miter lim="800000"/>
                          <a:headEnd/>
                          <a:tailEnd/>
                        </a:ln>
                      </pic:spPr>
                    </pic:pic>
                  </a:graphicData>
                </a:graphic>
              </wp:anchor>
            </w:drawing>
          </w:r>
        </w:p>
      </w:tc>
    </w:tr>
    <w:tr w:rsidR="00033529">
      <w:tblPrEx>
        <w:tblCellMar>
          <w:top w:w="0" w:type="dxa"/>
          <w:bottom w:w="0" w:type="dxa"/>
        </w:tblCellMar>
      </w:tblPrEx>
      <w:trPr>
        <w:cantSplit/>
      </w:trPr>
      <w:tc>
        <w:tcPr>
          <w:tcW w:w="4882" w:type="dxa"/>
        </w:tcPr>
        <w:p w:rsidR="00033529" w:rsidRDefault="00033529" w:rsidP="007A01AC">
          <w:pPr>
            <w:pStyle w:val="Copyright"/>
          </w:pPr>
          <w:r>
            <w:t>© Crown copyright 2010</w:t>
          </w:r>
        </w:p>
      </w:tc>
      <w:tc>
        <w:tcPr>
          <w:tcW w:w="4397" w:type="dxa"/>
        </w:tcPr>
        <w:p w:rsidR="00033529" w:rsidRDefault="00033529" w:rsidP="007A01AC">
          <w:pPr>
            <w:pStyle w:val="Footer"/>
            <w:spacing w:after="120"/>
          </w:pPr>
        </w:p>
      </w:tc>
    </w:tr>
  </w:tbl>
  <w:p w:rsidR="00033529" w:rsidRPr="00DE1F4D" w:rsidRDefault="00033529" w:rsidP="00CA3161">
    <w:pPr>
      <w:pStyle w:val="Footer-LHSEven"/>
      <w:pBdr>
        <w:top w:val="none" w:sz="0" w:space="0" w:color="auto"/>
      </w:pBdr>
      <w:tabs>
        <w:tab w:val="left" w:pos="720"/>
      </w:tabs>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4882"/>
      <w:gridCol w:w="4397"/>
    </w:tblGrid>
    <w:tr w:rsidR="00033529">
      <w:tblPrEx>
        <w:tblCellMar>
          <w:top w:w="0" w:type="dxa"/>
          <w:bottom w:w="0" w:type="dxa"/>
        </w:tblCellMar>
      </w:tblPrEx>
      <w:trPr>
        <w:cantSplit/>
        <w:trHeight w:val="2970"/>
      </w:trPr>
      <w:tc>
        <w:tcPr>
          <w:tcW w:w="9279" w:type="dxa"/>
          <w:gridSpan w:val="2"/>
        </w:tcPr>
        <w:p w:rsidR="00033529" w:rsidRPr="00AB2A72" w:rsidRDefault="00033529" w:rsidP="009B6FBA">
          <w:pPr>
            <w:pStyle w:val="Copyright"/>
            <w:rPr>
              <w:color w:val="auto"/>
            </w:rPr>
          </w:pPr>
          <w:r w:rsidRPr="00AB2A72">
            <w:rPr>
              <w:color w:val="auto"/>
            </w:rPr>
            <w:t xml:space="preserve">The Office for Standards in Education, Children's Services and Skills (Ofsted) regulates and inspects </w:t>
          </w:r>
          <w:r w:rsidRPr="00AB2A72">
            <w:rPr>
              <w:rFonts w:cs="Tahoma"/>
              <w:color w:val="auto"/>
              <w:lang/>
            </w:rPr>
            <w:t>to achieve excellence in the care of children and young people, and in education and skills for learners of all ages. It regulates and inspects</w:t>
          </w:r>
          <w:r w:rsidRPr="00AB2A72">
            <w:rPr>
              <w:color w:val="auto"/>
            </w:rPr>
            <w:t xml:space="preserve"> childcare and children's social care, and inspects </w:t>
          </w:r>
          <w:r w:rsidRPr="00AB2A72">
            <w:rPr>
              <w:rFonts w:cs="Tahoma"/>
            </w:rPr>
            <w:t xml:space="preserve">the </w:t>
          </w:r>
          <w:r w:rsidRPr="00AB2A72">
            <w:t>Children and Family Court Advisory Support Service (</w:t>
          </w:r>
          <w:r w:rsidRPr="00AB2A72">
            <w:rPr>
              <w:color w:val="auto"/>
            </w:rPr>
            <w:t xml:space="preserve">Cafcass), schools, colleges, initial teacher training, work-based learning and skills training, adult and community learning, and education and training in prisons and other secure establishments. It </w:t>
          </w:r>
          <w:r>
            <w:rPr>
              <w:color w:val="auto"/>
            </w:rPr>
            <w:t>assesses</w:t>
          </w:r>
          <w:r w:rsidRPr="00AB2A72">
            <w:rPr>
              <w:color w:val="auto"/>
            </w:rPr>
            <w:t xml:space="preserve"> council children’s services, and inspects services for looked after children, safeguarding and child protection.</w:t>
          </w:r>
        </w:p>
        <w:p w:rsidR="00033529" w:rsidRDefault="00033529" w:rsidP="009B6FBA">
          <w:pPr>
            <w:pStyle w:val="Copyright"/>
          </w:pPr>
          <w:r>
            <w:t xml:space="preserve">If you would like a copy of this document in a different format, such as large print or Braille, please telephone </w:t>
          </w:r>
          <w:r w:rsidRPr="00F55763">
            <w:t>0300</w:t>
          </w:r>
          <w:r>
            <w:t xml:space="preserve"> </w:t>
          </w:r>
          <w:r w:rsidRPr="00F55763">
            <w:t>123</w:t>
          </w:r>
          <w:r>
            <w:t xml:space="preserve"> </w:t>
          </w:r>
          <w:r w:rsidRPr="00F55763">
            <w:t>1231</w:t>
          </w:r>
          <w:r>
            <w:t xml:space="preserve">, or email </w:t>
          </w:r>
          <w:r w:rsidRPr="00033529">
            <w:rPr>
              <w:rStyle w:val="Hyperlink"/>
              <w:u w:val="none"/>
            </w:rPr>
            <w:t>enquiries@ofsted.gov.uk</w:t>
          </w:r>
          <w:r>
            <w:t>.</w:t>
          </w:r>
        </w:p>
        <w:p w:rsidR="00033529" w:rsidRPr="00F05402" w:rsidRDefault="00033529" w:rsidP="009B6FBA">
          <w:pPr>
            <w:pStyle w:val="Copyright"/>
          </w:pPr>
          <w:r w:rsidRPr="00F05402">
            <w:t xml:space="preserve">You may reuse this information (not including logos) free of charge in any format or medium, under the terms of the Open Government Licence. To view this licence, visit </w:t>
          </w:r>
          <w:hyperlink r:id="rId1" w:history="1">
            <w:r w:rsidRPr="00033529">
              <w:rPr>
                <w:rStyle w:val="Hyperlink"/>
                <w:u w:val="none"/>
              </w:rPr>
              <w:t>www.nationalarchives.gov.uk/doc/open-government-licence/</w:t>
            </w:r>
          </w:hyperlink>
          <w:r w:rsidRPr="00F05402">
            <w:t xml:space="preserve">, write to the Information Policy Team, The National Archives, Kew, London TW9 4DU, or email: </w:t>
          </w:r>
          <w:hyperlink r:id="rId2" w:history="1">
            <w:r w:rsidRPr="00033529">
              <w:rPr>
                <w:rStyle w:val="Hyperlink"/>
                <w:u w:val="none"/>
              </w:rPr>
              <w:t>psi@nationalarchives.gsi.gov.uk</w:t>
            </w:r>
          </w:hyperlink>
          <w:r w:rsidRPr="00F05402">
            <w:t>.</w:t>
          </w:r>
        </w:p>
        <w:p w:rsidR="00033529" w:rsidRDefault="00033529" w:rsidP="009B6FBA">
          <w:pPr>
            <w:pStyle w:val="Copyright"/>
          </w:pPr>
          <w:r w:rsidRPr="00F05402">
            <w:t xml:space="preserve">This publication is available at </w:t>
          </w:r>
          <w:hyperlink r:id="rId3" w:history="1">
            <w:r w:rsidRPr="00033529">
              <w:rPr>
                <w:rStyle w:val="Hyperlink"/>
                <w:u w:val="none"/>
              </w:rPr>
              <w:t>www.ofsted.gov.uk/resources/120334</w:t>
            </w:r>
          </w:hyperlink>
          <w:r w:rsidRPr="00F05402">
            <w:t>.</w:t>
          </w:r>
        </w:p>
        <w:p w:rsidR="00033529" w:rsidRDefault="00033529" w:rsidP="009B6FBA">
          <w:pPr>
            <w:pStyle w:val="Copyright"/>
            <w:rPr>
              <w:noProof/>
            </w:rPr>
          </w:pPr>
          <w:r>
            <w:rPr>
              <w:rFonts w:cs="Tahoma"/>
              <w:color w:val="auto"/>
              <w:lang w:eastAsia="en-GB"/>
            </w:rPr>
            <w:t xml:space="preserve">Interested in our work? You can subscribe to our website for news, information and updates at </w:t>
          </w:r>
          <w:hyperlink r:id="rId4" w:history="1">
            <w:r w:rsidRPr="00EC3D58">
              <w:rPr>
                <w:rFonts w:cs="Tahoma"/>
                <w:color w:val="0000FF"/>
                <w:lang w:eastAsia="en-GB"/>
              </w:rPr>
              <w:t>www.ofsted.gov.uk/user</w:t>
            </w:r>
          </w:hyperlink>
          <w:r w:rsidRPr="00EC3D58">
            <w:rPr>
              <w:rFonts w:cs="Tahoma"/>
              <w:color w:val="auto"/>
              <w:lang w:eastAsia="en-GB"/>
            </w:rPr>
            <w:t>.</w:t>
          </w:r>
        </w:p>
      </w:tc>
    </w:tr>
    <w:tr w:rsidR="00033529">
      <w:tblPrEx>
        <w:tblCellMar>
          <w:top w:w="0" w:type="dxa"/>
          <w:bottom w:w="0" w:type="dxa"/>
        </w:tblCellMar>
      </w:tblPrEx>
      <w:trPr>
        <w:cantSplit/>
      </w:trPr>
      <w:tc>
        <w:tcPr>
          <w:tcW w:w="4882" w:type="dxa"/>
        </w:tcPr>
        <w:p w:rsidR="00033529" w:rsidRDefault="00033529" w:rsidP="009B6FBA">
          <w:pPr>
            <w:pStyle w:val="Copyright"/>
            <w:spacing w:after="0"/>
          </w:pPr>
          <w:r w:rsidRPr="00D34558">
            <w:t>Piccadilly Gate</w:t>
          </w:r>
        </w:p>
        <w:p w:rsidR="00033529" w:rsidRDefault="00033529" w:rsidP="009B6FBA">
          <w:pPr>
            <w:pStyle w:val="Copyright"/>
            <w:spacing w:after="0"/>
          </w:pPr>
          <w:r>
            <w:t>Store Street</w:t>
          </w:r>
        </w:p>
        <w:p w:rsidR="00033529" w:rsidRDefault="00033529" w:rsidP="009B6FBA">
          <w:pPr>
            <w:pStyle w:val="Copyright"/>
            <w:spacing w:after="0"/>
          </w:pPr>
          <w:smartTag w:uri="urn:schemas-microsoft-com:office:smarttags" w:element="place">
            <w:smartTag w:uri="urn:schemas-microsoft-com:office:smarttags" w:element="City">
              <w:r w:rsidRPr="00D34558">
                <w:t>Manchester</w:t>
              </w:r>
            </w:smartTag>
          </w:smartTag>
        </w:p>
        <w:p w:rsidR="00033529" w:rsidRPr="00D34558" w:rsidRDefault="00033529" w:rsidP="009B6FBA">
          <w:pPr>
            <w:pStyle w:val="Copyright"/>
            <w:spacing w:after="0"/>
          </w:pPr>
          <w:r w:rsidRPr="00D34558">
            <w:t>M1 2WD</w:t>
          </w:r>
        </w:p>
        <w:p w:rsidR="00033529" w:rsidRPr="00AF7EB5" w:rsidRDefault="00033529" w:rsidP="009B6FBA">
          <w:pPr>
            <w:pStyle w:val="Copyright"/>
            <w:spacing w:after="0"/>
          </w:pPr>
        </w:p>
        <w:p w:rsidR="00033529" w:rsidRPr="00951584" w:rsidRDefault="00033529" w:rsidP="009B6FBA">
          <w:pPr>
            <w:pStyle w:val="Copyright"/>
            <w:spacing w:after="0"/>
            <w:rPr>
              <w:lang w:val="fr-FR"/>
            </w:rPr>
          </w:pPr>
          <w:r w:rsidRPr="00951584">
            <w:rPr>
              <w:lang w:val="fr-FR"/>
            </w:rPr>
            <w:t>T: 0300 123 1231</w:t>
          </w:r>
        </w:p>
        <w:p w:rsidR="00033529" w:rsidRPr="00951584" w:rsidRDefault="00033529" w:rsidP="009B6FBA">
          <w:pPr>
            <w:pStyle w:val="Copyright"/>
            <w:spacing w:after="0"/>
            <w:rPr>
              <w:lang w:val="fr-FR"/>
            </w:rPr>
          </w:pPr>
          <w:r w:rsidRPr="00951584">
            <w:rPr>
              <w:lang w:val="fr-FR"/>
            </w:rPr>
            <w:t>Textphone: 0161 618 8524</w:t>
          </w:r>
        </w:p>
        <w:p w:rsidR="00033529" w:rsidRPr="00033529" w:rsidRDefault="00033529" w:rsidP="009B6FBA">
          <w:pPr>
            <w:pStyle w:val="Copyright"/>
            <w:spacing w:after="0"/>
            <w:rPr>
              <w:lang w:val="fr-FR"/>
            </w:rPr>
          </w:pPr>
          <w:r w:rsidRPr="00951584">
            <w:rPr>
              <w:lang w:val="fr-FR"/>
            </w:rPr>
            <w:t xml:space="preserve">E: </w:t>
          </w:r>
          <w:r w:rsidRPr="00033529">
            <w:rPr>
              <w:rStyle w:val="Hyperlink"/>
              <w:u w:val="none"/>
              <w:lang w:val="fr-FR"/>
            </w:rPr>
            <w:t>enquiries@ofsted.gov.uk</w:t>
          </w:r>
        </w:p>
        <w:p w:rsidR="00033529" w:rsidRPr="00512378" w:rsidRDefault="00033529" w:rsidP="009B6FBA">
          <w:pPr>
            <w:pStyle w:val="Copyright"/>
          </w:pPr>
          <w:r w:rsidRPr="00033529">
            <w:t xml:space="preserve">W: </w:t>
          </w:r>
          <w:hyperlink r:id="rId5" w:history="1">
            <w:r w:rsidRPr="00033529">
              <w:rPr>
                <w:rStyle w:val="Hyperlink"/>
                <w:u w:val="none"/>
              </w:rPr>
              <w:t>www.ofsted.gov.uk</w:t>
            </w:r>
          </w:hyperlink>
        </w:p>
        <w:p w:rsidR="00033529" w:rsidRPr="009C44C9" w:rsidRDefault="00033529" w:rsidP="009B6FBA">
          <w:pPr>
            <w:pStyle w:val="Copyright"/>
          </w:pPr>
          <w:r>
            <w:t>No. 120334</w:t>
          </w:r>
        </w:p>
      </w:tc>
      <w:tc>
        <w:tcPr>
          <w:tcW w:w="4397" w:type="dxa"/>
        </w:tcPr>
        <w:p w:rsidR="00033529" w:rsidRDefault="007F4A5F" w:rsidP="009B6FBA">
          <w:pPr>
            <w:pStyle w:val="Footer"/>
            <w:spacing w:after="120"/>
          </w:pPr>
          <w:r>
            <w:rPr>
              <w:noProof/>
              <w:lang w:eastAsia="en-GB"/>
            </w:rPr>
            <w:drawing>
              <wp:anchor distT="0" distB="0" distL="114300" distR="114300" simplePos="0" relativeHeight="251659776" behindDoc="0" locked="1" layoutInCell="0" allowOverlap="0">
                <wp:simplePos x="0" y="0"/>
                <wp:positionH relativeFrom="page">
                  <wp:posOffset>5832475</wp:posOffset>
                </wp:positionH>
                <wp:positionV relativeFrom="page">
                  <wp:posOffset>8893175</wp:posOffset>
                </wp:positionV>
                <wp:extent cx="1296035" cy="652145"/>
                <wp:effectExtent l="19050" t="0" r="0" b="0"/>
                <wp:wrapNone/>
                <wp:docPr id="6" name="Picture 6"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sted_Logo_Black_RGB"/>
                        <pic:cNvPicPr>
                          <a:picLocks noChangeAspect="1" noChangeArrowheads="1"/>
                        </pic:cNvPicPr>
                      </pic:nvPicPr>
                      <pic:blipFill>
                        <a:blip r:embed="rId6"/>
                        <a:srcRect/>
                        <a:stretch>
                          <a:fillRect/>
                        </a:stretch>
                      </pic:blipFill>
                      <pic:spPr bwMode="auto">
                        <a:xfrm>
                          <a:off x="0" y="0"/>
                          <a:ext cx="1296035" cy="652145"/>
                        </a:xfrm>
                        <a:prstGeom prst="rect">
                          <a:avLst/>
                        </a:prstGeom>
                        <a:noFill/>
                        <a:ln w="9525">
                          <a:noFill/>
                          <a:miter lim="800000"/>
                          <a:headEnd/>
                          <a:tailEnd/>
                        </a:ln>
                      </pic:spPr>
                    </pic:pic>
                  </a:graphicData>
                </a:graphic>
              </wp:anchor>
            </w:drawing>
          </w:r>
        </w:p>
      </w:tc>
    </w:tr>
    <w:tr w:rsidR="00033529">
      <w:tblPrEx>
        <w:tblCellMar>
          <w:top w:w="0" w:type="dxa"/>
          <w:bottom w:w="0" w:type="dxa"/>
        </w:tblCellMar>
      </w:tblPrEx>
      <w:trPr>
        <w:cantSplit/>
      </w:trPr>
      <w:tc>
        <w:tcPr>
          <w:tcW w:w="4882" w:type="dxa"/>
        </w:tcPr>
        <w:p w:rsidR="00033529" w:rsidRDefault="00033529" w:rsidP="009B6FBA">
          <w:pPr>
            <w:pStyle w:val="Copyright"/>
          </w:pPr>
          <w:r>
            <w:t>© Crown copyright 2012</w:t>
          </w:r>
        </w:p>
      </w:tc>
      <w:tc>
        <w:tcPr>
          <w:tcW w:w="4397" w:type="dxa"/>
        </w:tcPr>
        <w:p w:rsidR="00033529" w:rsidRDefault="00033529" w:rsidP="009B6FBA">
          <w:pPr>
            <w:pStyle w:val="Footer"/>
            <w:spacing w:after="120"/>
          </w:pPr>
        </w:p>
      </w:tc>
    </w:tr>
  </w:tbl>
  <w:p w:rsidR="00033529" w:rsidRDefault="00033529" w:rsidP="00913FFB">
    <w:pPr>
      <w:pStyle w:val="Footer-RHSOdd"/>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F1A" w:rsidRDefault="00BB4F1A" w:rsidP="00963861">
      <w:pPr>
        <w:pStyle w:val="Tabletext-left"/>
      </w:pPr>
      <w:r>
        <w:separator/>
      </w:r>
    </w:p>
  </w:footnote>
  <w:footnote w:type="continuationSeparator" w:id="0">
    <w:p w:rsidR="00BB4F1A" w:rsidRDefault="00BB4F1A">
      <w:pPr>
        <w:pStyle w:val="Tabletext-left"/>
      </w:pPr>
      <w:r>
        <w:continuationSeparator/>
      </w:r>
    </w:p>
    <w:p w:rsidR="00BB4F1A" w:rsidRDefault="00BB4F1A"/>
    <w:p w:rsidR="00BB4F1A" w:rsidRDefault="00BB4F1A"/>
  </w:footnote>
  <w:footnote w:id="1">
    <w:p w:rsidR="00033529" w:rsidRDefault="00033529" w:rsidP="0069662B">
      <w:pPr>
        <w:pStyle w:val="FootnoteText"/>
        <w:tabs>
          <w:tab w:val="left" w:pos="9356"/>
        </w:tabs>
        <w:ind w:right="-293"/>
      </w:pPr>
      <w:r>
        <w:rPr>
          <w:rStyle w:val="FootnoteReference"/>
        </w:rPr>
        <w:footnoteRef/>
      </w:r>
      <w:r>
        <w:t xml:space="preserve"> For more information on health and safety legislation, please go to the Health and Safety Executive website: </w:t>
      </w:r>
      <w:hyperlink r:id="rId1" w:history="1">
        <w:r w:rsidRPr="00033529">
          <w:rPr>
            <w:rStyle w:val="Hyperlink"/>
            <w:rFonts w:cs="Tahoma"/>
            <w:color w:val="810081"/>
            <w:u w:val="none"/>
            <w:lang w:eastAsia="en-GB"/>
          </w:rPr>
          <w:t>http://www.hse.gov.uk/risk/index.htm</w:t>
        </w:r>
      </w:hyperlink>
      <w:r>
        <w:rPr>
          <w:rFonts w:cs="Tahoma"/>
          <w:color w:val="0000FF"/>
          <w:lang w:eastAsia="en-GB"/>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529" w:rsidRDefault="007F4A5F" w:rsidP="008A2ECC">
    <w:pPr>
      <w:pStyle w:val="Header"/>
      <w:pBdr>
        <w:bottom w:val="none" w:sz="0" w:space="0" w:color="auto"/>
      </w:pBdr>
    </w:pPr>
    <w:r>
      <w:rPr>
        <w:noProof/>
        <w:lang w:eastAsia="en-GB"/>
      </w:rPr>
      <w:drawing>
        <wp:anchor distT="0" distB="0" distL="114300" distR="114300" simplePos="0" relativeHeight="251655680" behindDoc="1" locked="1" layoutInCell="0" allowOverlap="0">
          <wp:simplePos x="0" y="0"/>
          <wp:positionH relativeFrom="page">
            <wp:posOffset>6120765</wp:posOffset>
          </wp:positionH>
          <wp:positionV relativeFrom="page">
            <wp:posOffset>323850</wp:posOffset>
          </wp:positionV>
          <wp:extent cx="1007745" cy="506095"/>
          <wp:effectExtent l="19050" t="0" r="1905" b="0"/>
          <wp:wrapNone/>
          <wp:docPr id="1" name="Picture 1"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sted_Logo_Black_RGB"/>
                  <pic:cNvPicPr>
                    <a:picLocks noChangeAspect="1" noChangeArrowheads="1"/>
                  </pic:cNvPicPr>
                </pic:nvPicPr>
                <pic:blipFill>
                  <a:blip r:embed="rId1"/>
                  <a:srcRect/>
                  <a:stretch>
                    <a:fillRect/>
                  </a:stretch>
                </pic:blipFill>
                <pic:spPr bwMode="auto">
                  <a:xfrm>
                    <a:off x="0" y="0"/>
                    <a:ext cx="1007745" cy="506095"/>
                  </a:xfrm>
                  <a:prstGeom prst="rect">
                    <a:avLst/>
                  </a:prstGeom>
                  <a:noFill/>
                  <a:ln w="9525">
                    <a:noFill/>
                    <a:miter lim="800000"/>
                    <a:headEnd/>
                    <a:tailEnd/>
                  </a:ln>
                </pic:spPr>
              </pic:pic>
            </a:graphicData>
          </a:graphic>
        </wp:anchor>
      </w:drawing>
    </w:r>
  </w:p>
  <w:p w:rsidR="00033529" w:rsidRDefault="0003352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529" w:rsidRDefault="007F4A5F">
    <w:r>
      <w:rPr>
        <w:noProof/>
        <w:lang w:eastAsia="en-GB"/>
      </w:rPr>
      <w:drawing>
        <wp:anchor distT="0" distB="0" distL="114300" distR="114300" simplePos="0" relativeHeight="251656704" behindDoc="1" locked="1" layoutInCell="0" allowOverlap="0">
          <wp:simplePos x="0" y="0"/>
          <wp:positionH relativeFrom="page">
            <wp:posOffset>5832475</wp:posOffset>
          </wp:positionH>
          <wp:positionV relativeFrom="page">
            <wp:posOffset>323850</wp:posOffset>
          </wp:positionV>
          <wp:extent cx="1295400" cy="1098550"/>
          <wp:effectExtent l="19050" t="0" r="0" b="0"/>
          <wp:wrapNone/>
          <wp:docPr id="2" name="Picture 2" descr="Ofsted_LOGO_BLK_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sted_LOGO_BLK_WS"/>
                  <pic:cNvPicPr>
                    <a:picLocks noChangeAspect="1" noChangeArrowheads="1"/>
                  </pic:cNvPicPr>
                </pic:nvPicPr>
                <pic:blipFill>
                  <a:blip r:embed="rId1"/>
                  <a:srcRect/>
                  <a:stretch>
                    <a:fillRect/>
                  </a:stretch>
                </pic:blipFill>
                <pic:spPr bwMode="auto">
                  <a:xfrm>
                    <a:off x="0" y="0"/>
                    <a:ext cx="1295400" cy="109855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529" w:rsidRDefault="00033529">
    <w:pPr>
      <w:pStyle w:val="Footer-RHSOdd"/>
      <w:tabs>
        <w:tab w:val="left" w:pos="284"/>
      </w:tabs>
    </w:pPr>
    <w:r>
      <w:tab/>
      <w:t>Add</w:t>
    </w:r>
    <w:r>
      <w:tab/>
    </w:r>
    <w:r>
      <w:rPr>
        <w:rStyle w:val="PageNumber"/>
      </w:rPr>
      <w:fldChar w:fldCharType="begin"/>
    </w:r>
    <w:r>
      <w:rPr>
        <w:rStyle w:val="PageNumber"/>
      </w:rPr>
      <w:instrText xml:space="preserve"> PAGE </w:instrText>
    </w:r>
    <w:r>
      <w:rPr>
        <w:rStyle w:val="PageNumber"/>
      </w:rPr>
      <w:fldChar w:fldCharType="separate"/>
    </w:r>
    <w:r w:rsidR="00FE4207">
      <w:rPr>
        <w:rStyle w:val="PageNumber"/>
        <w:noProof/>
      </w:rPr>
      <w:t>3</w:t>
    </w:r>
    <w:r>
      <w:rPr>
        <w:rStyle w:val="PageNumber"/>
      </w:rPr>
      <w:fldChar w:fldCharType="end"/>
    </w:r>
  </w:p>
  <w:p w:rsidR="00033529" w:rsidRDefault="0003352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529" w:rsidRDefault="007F4A5F">
    <w:r>
      <w:rPr>
        <w:noProof/>
        <w:lang w:eastAsia="en-GB"/>
      </w:rPr>
      <w:drawing>
        <wp:anchor distT="0" distB="0" distL="114300" distR="114300" simplePos="0" relativeHeight="251657728" behindDoc="1" locked="1" layoutInCell="0" allowOverlap="0">
          <wp:simplePos x="0" y="0"/>
          <wp:positionH relativeFrom="page">
            <wp:posOffset>6120765</wp:posOffset>
          </wp:positionH>
          <wp:positionV relativeFrom="page">
            <wp:posOffset>323850</wp:posOffset>
          </wp:positionV>
          <wp:extent cx="1007745" cy="506095"/>
          <wp:effectExtent l="19050" t="0" r="1905" b="0"/>
          <wp:wrapNone/>
          <wp:docPr id="3" name="Picture 3"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fsted_Logo_Black_RGB"/>
                  <pic:cNvPicPr>
                    <a:picLocks noChangeAspect="1" noChangeArrowheads="1"/>
                  </pic:cNvPicPr>
                </pic:nvPicPr>
                <pic:blipFill>
                  <a:blip r:embed="rId1"/>
                  <a:srcRect/>
                  <a:stretch>
                    <a:fillRect/>
                  </a:stretch>
                </pic:blipFill>
                <pic:spPr bwMode="auto">
                  <a:xfrm>
                    <a:off x="0" y="0"/>
                    <a:ext cx="1007745" cy="506095"/>
                  </a:xfrm>
                  <a:prstGeom prst="rect">
                    <a:avLst/>
                  </a:prstGeom>
                  <a:noFill/>
                  <a:ln w="9525">
                    <a:noFill/>
                    <a:miter lim="800000"/>
                    <a:headEnd/>
                    <a:tailEnd/>
                  </a:ln>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529" w:rsidRDefault="00033529" w:rsidP="008A2ECC">
    <w:pPr>
      <w:pStyle w:val="Header"/>
      <w:pBdr>
        <w:bottom w:val="none" w:sz="0" w:space="0" w:color="auto"/>
      </w:pBdr>
    </w:pPr>
  </w:p>
  <w:p w:rsidR="00033529" w:rsidRDefault="00033529"/>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529" w:rsidRDefault="000335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AF2977E"/>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4C17C9D"/>
    <w:multiLevelType w:val="hybridMultilevel"/>
    <w:tmpl w:val="E68ADE16"/>
    <w:lvl w:ilvl="0" w:tplc="0C9C1CEA">
      <w:start w:val="1"/>
      <w:numFmt w:val="bullet"/>
      <w:lvlText w:val=""/>
      <w:lvlJc w:val="left"/>
      <w:pPr>
        <w:ind w:left="720" w:hanging="360"/>
      </w:pPr>
      <w:rPr>
        <w:rFonts w:ascii="Wingdings" w:hAnsi="Wingdings" w:hint="default"/>
        <w:sz w:val="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0483AAF"/>
    <w:multiLevelType w:val="hybridMultilevel"/>
    <w:tmpl w:val="A11E702A"/>
    <w:lvl w:ilvl="0" w:tplc="CD281CF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40C502A"/>
    <w:multiLevelType w:val="hybridMultilevel"/>
    <w:tmpl w:val="A9EEA7E8"/>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8">
    <w:nsid w:val="537448D1"/>
    <w:multiLevelType w:val="hybridMultilevel"/>
    <w:tmpl w:val="7EBE9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CC70747"/>
    <w:multiLevelType w:val="multilevel"/>
    <w:tmpl w:val="B9DCB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D885904"/>
    <w:multiLevelType w:val="hybridMultilevel"/>
    <w:tmpl w:val="32045334"/>
    <w:lvl w:ilvl="0">
      <w:start w:val="1"/>
      <w:numFmt w:val="bullet"/>
      <w:pStyle w:val="Bulletsstandard"/>
      <w:lvlText w:val=""/>
      <w:lvlJc w:val="left"/>
      <w:pPr>
        <w:tabs>
          <w:tab w:val="num" w:pos="927"/>
        </w:tabs>
        <w:ind w:left="927"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6F544997"/>
    <w:multiLevelType w:val="multilevel"/>
    <w:tmpl w:val="FD16D2F4"/>
    <w:lvl w:ilvl="0">
      <w:start w:val="1"/>
      <w:numFmt w:val="decimal"/>
      <w:pStyle w:val="Numberedlist"/>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2">
    <w:nsid w:val="6FBD762E"/>
    <w:multiLevelType w:val="hybridMultilevel"/>
    <w:tmpl w:val="2078DE9C"/>
    <w:lvl w:ilvl="0" w:tplc="671AD282">
      <w:start w:val="1"/>
      <w:numFmt w:val="bullet"/>
      <w:pStyle w:val="Bullets"/>
      <w:lvlText w:val=""/>
      <w:lvlJc w:val="left"/>
      <w:pPr>
        <w:tabs>
          <w:tab w:val="num" w:pos="1440"/>
        </w:tabs>
        <w:ind w:left="1440" w:hanging="360"/>
      </w:pPr>
      <w:rPr>
        <w:rFonts w:ascii="Wingdings" w:hAnsi="Wingdings" w:hint="default"/>
        <w:sz w:val="24"/>
        <w:szCs w:val="3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7CD95F39"/>
    <w:multiLevelType w:val="hybridMultilevel"/>
    <w:tmpl w:val="9C0C128E"/>
    <w:lvl w:ilvl="0" w:tplc="0C9C1CEA">
      <w:start w:val="1"/>
      <w:numFmt w:val="bullet"/>
      <w:lvlText w:val=""/>
      <w:lvlJc w:val="left"/>
      <w:pPr>
        <w:ind w:left="720" w:hanging="360"/>
      </w:pPr>
      <w:rPr>
        <w:rFonts w:ascii="Wingdings" w:hAnsi="Wingdings" w:hint="default"/>
        <w:sz w:val="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6"/>
  </w:num>
  <w:num w:numId="4">
    <w:abstractNumId w:val="5"/>
  </w:num>
  <w:num w:numId="5">
    <w:abstractNumId w:val="2"/>
  </w:num>
  <w:num w:numId="6">
    <w:abstractNumId w:val="10"/>
  </w:num>
  <w:num w:numId="7">
    <w:abstractNumId w:val="7"/>
  </w:num>
  <w:num w:numId="8">
    <w:abstractNumId w:val="0"/>
  </w:num>
  <w:num w:numId="9">
    <w:abstractNumId w:val="3"/>
  </w:num>
  <w:num w:numId="10">
    <w:abstractNumId w:val="12"/>
  </w:num>
  <w:num w:numId="11">
    <w:abstractNumId w:val="8"/>
  </w:num>
  <w:num w:numId="12">
    <w:abstractNumId w:val="1"/>
  </w:num>
  <w:num w:numId="13">
    <w:abstractNumId w:val="13"/>
  </w:num>
  <w:num w:numId="14">
    <w:abstractNumId w:val="9"/>
    <w:lvlOverride w:ilvl="0"/>
    <w:lvlOverride w:ilvl="1"/>
    <w:lvlOverride w:ilvl="2"/>
    <w:lvlOverride w:ilvl="3"/>
    <w:lvlOverride w:ilvl="4"/>
    <w:lvlOverride w:ilvl="5"/>
    <w:lvlOverride w:ilvl="6"/>
    <w:lvlOverride w:ilvl="7"/>
    <w:lvlOverride w:ilv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evenAndOddHeaders/>
  <w:characterSpacingControl w:val="doNotCompress"/>
  <w:hdrShapeDefaults>
    <o:shapedefaults v:ext="edit" spidmax="3074"/>
  </w:hdrShapeDefaults>
  <w:footnotePr>
    <w:footnote w:id="-1"/>
    <w:footnote w:id="0"/>
  </w:footnotePr>
  <w:endnotePr>
    <w:endnote w:id="-1"/>
    <w:endnote w:id="0"/>
  </w:endnotePr>
  <w:compat/>
  <w:rsids>
    <w:rsidRoot w:val="009D3684"/>
    <w:rsid w:val="0000354B"/>
    <w:rsid w:val="00007461"/>
    <w:rsid w:val="000110DF"/>
    <w:rsid w:val="0001349B"/>
    <w:rsid w:val="0001591E"/>
    <w:rsid w:val="0001785B"/>
    <w:rsid w:val="00020074"/>
    <w:rsid w:val="00021D62"/>
    <w:rsid w:val="00027C31"/>
    <w:rsid w:val="0003086D"/>
    <w:rsid w:val="00031ADE"/>
    <w:rsid w:val="00033081"/>
    <w:rsid w:val="00033529"/>
    <w:rsid w:val="000421CF"/>
    <w:rsid w:val="00051CB0"/>
    <w:rsid w:val="00054FE0"/>
    <w:rsid w:val="0006168D"/>
    <w:rsid w:val="00066EDC"/>
    <w:rsid w:val="00072175"/>
    <w:rsid w:val="000804BE"/>
    <w:rsid w:val="00080F6A"/>
    <w:rsid w:val="00092601"/>
    <w:rsid w:val="000A129A"/>
    <w:rsid w:val="000A7528"/>
    <w:rsid w:val="000B200D"/>
    <w:rsid w:val="000C1659"/>
    <w:rsid w:val="000C3C8E"/>
    <w:rsid w:val="000C5EB7"/>
    <w:rsid w:val="000C6789"/>
    <w:rsid w:val="000C76C6"/>
    <w:rsid w:val="000C7910"/>
    <w:rsid w:val="000D03F2"/>
    <w:rsid w:val="000D0750"/>
    <w:rsid w:val="000D4784"/>
    <w:rsid w:val="000E0353"/>
    <w:rsid w:val="000E789C"/>
    <w:rsid w:val="000F5280"/>
    <w:rsid w:val="000F63C8"/>
    <w:rsid w:val="000F643F"/>
    <w:rsid w:val="00103E47"/>
    <w:rsid w:val="00104319"/>
    <w:rsid w:val="00104D08"/>
    <w:rsid w:val="001107EE"/>
    <w:rsid w:val="00120C3A"/>
    <w:rsid w:val="0012126C"/>
    <w:rsid w:val="00121736"/>
    <w:rsid w:val="00122DF2"/>
    <w:rsid w:val="00130383"/>
    <w:rsid w:val="00131186"/>
    <w:rsid w:val="00132B37"/>
    <w:rsid w:val="00133C0D"/>
    <w:rsid w:val="00133DD3"/>
    <w:rsid w:val="0014479E"/>
    <w:rsid w:val="0014565E"/>
    <w:rsid w:val="001546C2"/>
    <w:rsid w:val="0015507E"/>
    <w:rsid w:val="00171913"/>
    <w:rsid w:val="00171AAB"/>
    <w:rsid w:val="00173F67"/>
    <w:rsid w:val="001769DE"/>
    <w:rsid w:val="00181E51"/>
    <w:rsid w:val="00182875"/>
    <w:rsid w:val="00182A53"/>
    <w:rsid w:val="00184458"/>
    <w:rsid w:val="00190B7D"/>
    <w:rsid w:val="001911DE"/>
    <w:rsid w:val="001915B4"/>
    <w:rsid w:val="001A74EA"/>
    <w:rsid w:val="001A78AE"/>
    <w:rsid w:val="001B218A"/>
    <w:rsid w:val="001B21F3"/>
    <w:rsid w:val="001B4A9C"/>
    <w:rsid w:val="001B57E8"/>
    <w:rsid w:val="001B687D"/>
    <w:rsid w:val="001B6888"/>
    <w:rsid w:val="001B7048"/>
    <w:rsid w:val="001C147A"/>
    <w:rsid w:val="001C6656"/>
    <w:rsid w:val="001C7A58"/>
    <w:rsid w:val="001D04A9"/>
    <w:rsid w:val="001D5616"/>
    <w:rsid w:val="001D67CD"/>
    <w:rsid w:val="001D68E6"/>
    <w:rsid w:val="001E10F9"/>
    <w:rsid w:val="001E5ADC"/>
    <w:rsid w:val="001F3D85"/>
    <w:rsid w:val="001F44CF"/>
    <w:rsid w:val="001F7430"/>
    <w:rsid w:val="002010B2"/>
    <w:rsid w:val="00212788"/>
    <w:rsid w:val="00214FEA"/>
    <w:rsid w:val="002227D5"/>
    <w:rsid w:val="00224A28"/>
    <w:rsid w:val="00224E8D"/>
    <w:rsid w:val="00227312"/>
    <w:rsid w:val="00230E71"/>
    <w:rsid w:val="00233D12"/>
    <w:rsid w:val="00240233"/>
    <w:rsid w:val="0024095B"/>
    <w:rsid w:val="002435DC"/>
    <w:rsid w:val="00250CCF"/>
    <w:rsid w:val="00251A76"/>
    <w:rsid w:val="00251CA1"/>
    <w:rsid w:val="0025486B"/>
    <w:rsid w:val="00260458"/>
    <w:rsid w:val="002607A5"/>
    <w:rsid w:val="00261072"/>
    <w:rsid w:val="00261CED"/>
    <w:rsid w:val="002627FE"/>
    <w:rsid w:val="00262E65"/>
    <w:rsid w:val="002765A0"/>
    <w:rsid w:val="00281EA9"/>
    <w:rsid w:val="00284A38"/>
    <w:rsid w:val="00284B47"/>
    <w:rsid w:val="002932E4"/>
    <w:rsid w:val="0029509E"/>
    <w:rsid w:val="00297E55"/>
    <w:rsid w:val="002A006B"/>
    <w:rsid w:val="002A0506"/>
    <w:rsid w:val="002A25B3"/>
    <w:rsid w:val="002A2F5A"/>
    <w:rsid w:val="002A6188"/>
    <w:rsid w:val="002B3CCF"/>
    <w:rsid w:val="002C30F2"/>
    <w:rsid w:val="002C6E9E"/>
    <w:rsid w:val="002C7841"/>
    <w:rsid w:val="002D008C"/>
    <w:rsid w:val="002D0859"/>
    <w:rsid w:val="002D2B6A"/>
    <w:rsid w:val="002D3D3F"/>
    <w:rsid w:val="002E13A2"/>
    <w:rsid w:val="002E3A6A"/>
    <w:rsid w:val="002E55A9"/>
    <w:rsid w:val="002E7D14"/>
    <w:rsid w:val="002F0AD2"/>
    <w:rsid w:val="002F228E"/>
    <w:rsid w:val="002F2B43"/>
    <w:rsid w:val="002F4B3A"/>
    <w:rsid w:val="002F5D91"/>
    <w:rsid w:val="002F67F2"/>
    <w:rsid w:val="002F78BA"/>
    <w:rsid w:val="0030090F"/>
    <w:rsid w:val="00304048"/>
    <w:rsid w:val="00307B3B"/>
    <w:rsid w:val="00316726"/>
    <w:rsid w:val="00317361"/>
    <w:rsid w:val="003244DC"/>
    <w:rsid w:val="00324CB7"/>
    <w:rsid w:val="003312DB"/>
    <w:rsid w:val="00333624"/>
    <w:rsid w:val="00341E82"/>
    <w:rsid w:val="0034321A"/>
    <w:rsid w:val="00345FDD"/>
    <w:rsid w:val="0036157A"/>
    <w:rsid w:val="003623D7"/>
    <w:rsid w:val="00362810"/>
    <w:rsid w:val="00364553"/>
    <w:rsid w:val="00370741"/>
    <w:rsid w:val="00375225"/>
    <w:rsid w:val="00375825"/>
    <w:rsid w:val="00383833"/>
    <w:rsid w:val="00391217"/>
    <w:rsid w:val="003A0566"/>
    <w:rsid w:val="003A5FA1"/>
    <w:rsid w:val="003A6DDA"/>
    <w:rsid w:val="003B0AE1"/>
    <w:rsid w:val="003B6FA9"/>
    <w:rsid w:val="003C42C7"/>
    <w:rsid w:val="003C5600"/>
    <w:rsid w:val="003D140B"/>
    <w:rsid w:val="003D443E"/>
    <w:rsid w:val="003D64E5"/>
    <w:rsid w:val="003E6D3B"/>
    <w:rsid w:val="003F47BA"/>
    <w:rsid w:val="003F5082"/>
    <w:rsid w:val="003F5166"/>
    <w:rsid w:val="00401AD0"/>
    <w:rsid w:val="00401C58"/>
    <w:rsid w:val="004026B4"/>
    <w:rsid w:val="00403383"/>
    <w:rsid w:val="00403456"/>
    <w:rsid w:val="004205C9"/>
    <w:rsid w:val="004207BE"/>
    <w:rsid w:val="00421ECC"/>
    <w:rsid w:val="0042290D"/>
    <w:rsid w:val="00423515"/>
    <w:rsid w:val="004300C5"/>
    <w:rsid w:val="00436AA7"/>
    <w:rsid w:val="00437D03"/>
    <w:rsid w:val="00442346"/>
    <w:rsid w:val="00443DAE"/>
    <w:rsid w:val="00454814"/>
    <w:rsid w:val="00455E93"/>
    <w:rsid w:val="004617C2"/>
    <w:rsid w:val="0046526B"/>
    <w:rsid w:val="00465426"/>
    <w:rsid w:val="00465797"/>
    <w:rsid w:val="00475C75"/>
    <w:rsid w:val="00481149"/>
    <w:rsid w:val="004870A7"/>
    <w:rsid w:val="00487371"/>
    <w:rsid w:val="00490412"/>
    <w:rsid w:val="004A24AA"/>
    <w:rsid w:val="004A3088"/>
    <w:rsid w:val="004B019E"/>
    <w:rsid w:val="004B6F45"/>
    <w:rsid w:val="004C0ADD"/>
    <w:rsid w:val="004C553B"/>
    <w:rsid w:val="004C67E2"/>
    <w:rsid w:val="004C7B32"/>
    <w:rsid w:val="004D00EC"/>
    <w:rsid w:val="004D16DE"/>
    <w:rsid w:val="004D2D15"/>
    <w:rsid w:val="004D6AF8"/>
    <w:rsid w:val="004D7E32"/>
    <w:rsid w:val="004E17B9"/>
    <w:rsid w:val="004E30D3"/>
    <w:rsid w:val="004E3BEE"/>
    <w:rsid w:val="004E7868"/>
    <w:rsid w:val="004F1889"/>
    <w:rsid w:val="004F6703"/>
    <w:rsid w:val="00501B4F"/>
    <w:rsid w:val="00505582"/>
    <w:rsid w:val="005073A0"/>
    <w:rsid w:val="005077CD"/>
    <w:rsid w:val="00516763"/>
    <w:rsid w:val="0051756F"/>
    <w:rsid w:val="00517A51"/>
    <w:rsid w:val="005213B3"/>
    <w:rsid w:val="005221E8"/>
    <w:rsid w:val="00524955"/>
    <w:rsid w:val="00524EB7"/>
    <w:rsid w:val="00525DFF"/>
    <w:rsid w:val="00533481"/>
    <w:rsid w:val="005336CD"/>
    <w:rsid w:val="00542333"/>
    <w:rsid w:val="00546080"/>
    <w:rsid w:val="00550A85"/>
    <w:rsid w:val="00556137"/>
    <w:rsid w:val="005604C0"/>
    <w:rsid w:val="005614F1"/>
    <w:rsid w:val="005651FA"/>
    <w:rsid w:val="00565B0B"/>
    <w:rsid w:val="0056682D"/>
    <w:rsid w:val="00567EC6"/>
    <w:rsid w:val="00582BF7"/>
    <w:rsid w:val="00583007"/>
    <w:rsid w:val="0059074F"/>
    <w:rsid w:val="00593705"/>
    <w:rsid w:val="00593A90"/>
    <w:rsid w:val="005A3935"/>
    <w:rsid w:val="005A4AF4"/>
    <w:rsid w:val="005A5399"/>
    <w:rsid w:val="005A7A45"/>
    <w:rsid w:val="005B1735"/>
    <w:rsid w:val="005B30F1"/>
    <w:rsid w:val="005C0820"/>
    <w:rsid w:val="005C2185"/>
    <w:rsid w:val="005C2FF3"/>
    <w:rsid w:val="005C44B1"/>
    <w:rsid w:val="005C4881"/>
    <w:rsid w:val="005C5540"/>
    <w:rsid w:val="005C5951"/>
    <w:rsid w:val="005C7207"/>
    <w:rsid w:val="005D09F0"/>
    <w:rsid w:val="005D26CF"/>
    <w:rsid w:val="005D610B"/>
    <w:rsid w:val="005D6F01"/>
    <w:rsid w:val="005E5091"/>
    <w:rsid w:val="005E7D60"/>
    <w:rsid w:val="005F0174"/>
    <w:rsid w:val="005F01EC"/>
    <w:rsid w:val="005F1F3F"/>
    <w:rsid w:val="005F720E"/>
    <w:rsid w:val="006054DD"/>
    <w:rsid w:val="00605D7E"/>
    <w:rsid w:val="00606F81"/>
    <w:rsid w:val="00612093"/>
    <w:rsid w:val="0061465D"/>
    <w:rsid w:val="006149E4"/>
    <w:rsid w:val="00615061"/>
    <w:rsid w:val="0061551E"/>
    <w:rsid w:val="00623364"/>
    <w:rsid w:val="0062367C"/>
    <w:rsid w:val="006277BD"/>
    <w:rsid w:val="0063297D"/>
    <w:rsid w:val="00634887"/>
    <w:rsid w:val="00640ADD"/>
    <w:rsid w:val="00641F4A"/>
    <w:rsid w:val="00646635"/>
    <w:rsid w:val="00646A08"/>
    <w:rsid w:val="00647C2F"/>
    <w:rsid w:val="00651264"/>
    <w:rsid w:val="00651A99"/>
    <w:rsid w:val="00656CE4"/>
    <w:rsid w:val="006653BE"/>
    <w:rsid w:val="00666097"/>
    <w:rsid w:val="00675BF3"/>
    <w:rsid w:val="00677FD2"/>
    <w:rsid w:val="00680467"/>
    <w:rsid w:val="00685ABB"/>
    <w:rsid w:val="0068656B"/>
    <w:rsid w:val="006875EA"/>
    <w:rsid w:val="00694DD8"/>
    <w:rsid w:val="00694F5D"/>
    <w:rsid w:val="0069662B"/>
    <w:rsid w:val="00697718"/>
    <w:rsid w:val="006A484F"/>
    <w:rsid w:val="006B47A5"/>
    <w:rsid w:val="006B6652"/>
    <w:rsid w:val="006B76EF"/>
    <w:rsid w:val="006B7CD6"/>
    <w:rsid w:val="006C4394"/>
    <w:rsid w:val="006C444E"/>
    <w:rsid w:val="006C4545"/>
    <w:rsid w:val="006D2642"/>
    <w:rsid w:val="006D2EB8"/>
    <w:rsid w:val="006D4DE8"/>
    <w:rsid w:val="006E3A8D"/>
    <w:rsid w:val="006E3D67"/>
    <w:rsid w:val="006E42A7"/>
    <w:rsid w:val="006E538B"/>
    <w:rsid w:val="006E641F"/>
    <w:rsid w:val="006F2F4B"/>
    <w:rsid w:val="006F34D7"/>
    <w:rsid w:val="0071679F"/>
    <w:rsid w:val="00723572"/>
    <w:rsid w:val="007261D8"/>
    <w:rsid w:val="007317D7"/>
    <w:rsid w:val="007330CD"/>
    <w:rsid w:val="007336F1"/>
    <w:rsid w:val="00744D61"/>
    <w:rsid w:val="00754D94"/>
    <w:rsid w:val="00760A68"/>
    <w:rsid w:val="007615C9"/>
    <w:rsid w:val="007626D1"/>
    <w:rsid w:val="00763E04"/>
    <w:rsid w:val="00766292"/>
    <w:rsid w:val="00766391"/>
    <w:rsid w:val="007733CF"/>
    <w:rsid w:val="0077386E"/>
    <w:rsid w:val="0077393C"/>
    <w:rsid w:val="00774193"/>
    <w:rsid w:val="00780D72"/>
    <w:rsid w:val="00783CA4"/>
    <w:rsid w:val="00784C79"/>
    <w:rsid w:val="00785194"/>
    <w:rsid w:val="00791334"/>
    <w:rsid w:val="007914A9"/>
    <w:rsid w:val="00791C34"/>
    <w:rsid w:val="007922CB"/>
    <w:rsid w:val="007A01AC"/>
    <w:rsid w:val="007A1ADD"/>
    <w:rsid w:val="007A41A7"/>
    <w:rsid w:val="007A48B7"/>
    <w:rsid w:val="007A65DF"/>
    <w:rsid w:val="007B2D46"/>
    <w:rsid w:val="007B340C"/>
    <w:rsid w:val="007C11C8"/>
    <w:rsid w:val="007C20CD"/>
    <w:rsid w:val="007C394C"/>
    <w:rsid w:val="007C756F"/>
    <w:rsid w:val="007D00FE"/>
    <w:rsid w:val="007D6787"/>
    <w:rsid w:val="007E65D8"/>
    <w:rsid w:val="007F28E0"/>
    <w:rsid w:val="007F4A5F"/>
    <w:rsid w:val="007F4FC8"/>
    <w:rsid w:val="0080221E"/>
    <w:rsid w:val="00804645"/>
    <w:rsid w:val="00805199"/>
    <w:rsid w:val="00805A3D"/>
    <w:rsid w:val="0081060A"/>
    <w:rsid w:val="00812398"/>
    <w:rsid w:val="008179E5"/>
    <w:rsid w:val="008241D4"/>
    <w:rsid w:val="0083435B"/>
    <w:rsid w:val="008343D2"/>
    <w:rsid w:val="00835EDF"/>
    <w:rsid w:val="00837650"/>
    <w:rsid w:val="008412A3"/>
    <w:rsid w:val="00843F38"/>
    <w:rsid w:val="0084547F"/>
    <w:rsid w:val="0085276E"/>
    <w:rsid w:val="00852C80"/>
    <w:rsid w:val="00855019"/>
    <w:rsid w:val="00855772"/>
    <w:rsid w:val="00860320"/>
    <w:rsid w:val="008719A8"/>
    <w:rsid w:val="00871B02"/>
    <w:rsid w:val="0087236F"/>
    <w:rsid w:val="0087339D"/>
    <w:rsid w:val="008750E5"/>
    <w:rsid w:val="00876633"/>
    <w:rsid w:val="00877CEE"/>
    <w:rsid w:val="0088117A"/>
    <w:rsid w:val="00885F0D"/>
    <w:rsid w:val="00887A07"/>
    <w:rsid w:val="00892BBE"/>
    <w:rsid w:val="008A1657"/>
    <w:rsid w:val="008A2398"/>
    <w:rsid w:val="008A2ECC"/>
    <w:rsid w:val="008A43EF"/>
    <w:rsid w:val="008A6682"/>
    <w:rsid w:val="008A6966"/>
    <w:rsid w:val="008A7C7B"/>
    <w:rsid w:val="008B2CEE"/>
    <w:rsid w:val="008B43A7"/>
    <w:rsid w:val="008B4A39"/>
    <w:rsid w:val="008C1316"/>
    <w:rsid w:val="008C1B63"/>
    <w:rsid w:val="008C5BB5"/>
    <w:rsid w:val="008C7CE5"/>
    <w:rsid w:val="008D4AA7"/>
    <w:rsid w:val="008D502D"/>
    <w:rsid w:val="008E0387"/>
    <w:rsid w:val="008E2192"/>
    <w:rsid w:val="008E593B"/>
    <w:rsid w:val="008E5F5E"/>
    <w:rsid w:val="008E68BB"/>
    <w:rsid w:val="008E75AA"/>
    <w:rsid w:val="008F2AC8"/>
    <w:rsid w:val="008F3D2E"/>
    <w:rsid w:val="008F5445"/>
    <w:rsid w:val="008F5DF8"/>
    <w:rsid w:val="008F5FAF"/>
    <w:rsid w:val="008F6036"/>
    <w:rsid w:val="008F7338"/>
    <w:rsid w:val="008F79E3"/>
    <w:rsid w:val="009127AB"/>
    <w:rsid w:val="00913FFB"/>
    <w:rsid w:val="009146B0"/>
    <w:rsid w:val="009178D7"/>
    <w:rsid w:val="00922CAA"/>
    <w:rsid w:val="0092387C"/>
    <w:rsid w:val="009256C5"/>
    <w:rsid w:val="00926E92"/>
    <w:rsid w:val="00927209"/>
    <w:rsid w:val="00931398"/>
    <w:rsid w:val="00933419"/>
    <w:rsid w:val="0093538D"/>
    <w:rsid w:val="00940C01"/>
    <w:rsid w:val="00941BCA"/>
    <w:rsid w:val="00942416"/>
    <w:rsid w:val="00947F28"/>
    <w:rsid w:val="00950262"/>
    <w:rsid w:val="0095416C"/>
    <w:rsid w:val="00955CDA"/>
    <w:rsid w:val="009576C1"/>
    <w:rsid w:val="00961A92"/>
    <w:rsid w:val="00963861"/>
    <w:rsid w:val="0096391F"/>
    <w:rsid w:val="009656DE"/>
    <w:rsid w:val="00977CB0"/>
    <w:rsid w:val="009826C2"/>
    <w:rsid w:val="00983AD9"/>
    <w:rsid w:val="009873D0"/>
    <w:rsid w:val="00990A05"/>
    <w:rsid w:val="00990EED"/>
    <w:rsid w:val="009A37DE"/>
    <w:rsid w:val="009A7664"/>
    <w:rsid w:val="009A7C84"/>
    <w:rsid w:val="009B1DB8"/>
    <w:rsid w:val="009B6FBA"/>
    <w:rsid w:val="009C021D"/>
    <w:rsid w:val="009C44C9"/>
    <w:rsid w:val="009C6931"/>
    <w:rsid w:val="009C74C9"/>
    <w:rsid w:val="009C7B68"/>
    <w:rsid w:val="009D254C"/>
    <w:rsid w:val="009D3684"/>
    <w:rsid w:val="009D5E02"/>
    <w:rsid w:val="009D74C0"/>
    <w:rsid w:val="009F4B6E"/>
    <w:rsid w:val="009F5239"/>
    <w:rsid w:val="00A00020"/>
    <w:rsid w:val="00A07D48"/>
    <w:rsid w:val="00A102B8"/>
    <w:rsid w:val="00A11143"/>
    <w:rsid w:val="00A25784"/>
    <w:rsid w:val="00A330B8"/>
    <w:rsid w:val="00A360C1"/>
    <w:rsid w:val="00A37CA4"/>
    <w:rsid w:val="00A37EE6"/>
    <w:rsid w:val="00A42FAE"/>
    <w:rsid w:val="00A436FB"/>
    <w:rsid w:val="00A54155"/>
    <w:rsid w:val="00A57EEB"/>
    <w:rsid w:val="00A74443"/>
    <w:rsid w:val="00A7565A"/>
    <w:rsid w:val="00A83182"/>
    <w:rsid w:val="00A873D6"/>
    <w:rsid w:val="00A90FC6"/>
    <w:rsid w:val="00A95289"/>
    <w:rsid w:val="00AA1E5E"/>
    <w:rsid w:val="00AA3241"/>
    <w:rsid w:val="00AA77F7"/>
    <w:rsid w:val="00AB22BC"/>
    <w:rsid w:val="00AB58F1"/>
    <w:rsid w:val="00AC0606"/>
    <w:rsid w:val="00AC3AD0"/>
    <w:rsid w:val="00AC74FE"/>
    <w:rsid w:val="00AD24FA"/>
    <w:rsid w:val="00AD7C60"/>
    <w:rsid w:val="00AE318F"/>
    <w:rsid w:val="00AE4B58"/>
    <w:rsid w:val="00AE4C39"/>
    <w:rsid w:val="00AE7861"/>
    <w:rsid w:val="00AF52D3"/>
    <w:rsid w:val="00B0458D"/>
    <w:rsid w:val="00B11528"/>
    <w:rsid w:val="00B12B72"/>
    <w:rsid w:val="00B1696E"/>
    <w:rsid w:val="00B17690"/>
    <w:rsid w:val="00B240DE"/>
    <w:rsid w:val="00B2667C"/>
    <w:rsid w:val="00B26CA6"/>
    <w:rsid w:val="00B3567D"/>
    <w:rsid w:val="00B35EA9"/>
    <w:rsid w:val="00B411F0"/>
    <w:rsid w:val="00B4149B"/>
    <w:rsid w:val="00B41871"/>
    <w:rsid w:val="00B42DBD"/>
    <w:rsid w:val="00B5132A"/>
    <w:rsid w:val="00B55820"/>
    <w:rsid w:val="00B55F2A"/>
    <w:rsid w:val="00B57400"/>
    <w:rsid w:val="00B57D48"/>
    <w:rsid w:val="00B62F0F"/>
    <w:rsid w:val="00B74E0C"/>
    <w:rsid w:val="00B777FC"/>
    <w:rsid w:val="00B91931"/>
    <w:rsid w:val="00B92520"/>
    <w:rsid w:val="00B942FB"/>
    <w:rsid w:val="00B96247"/>
    <w:rsid w:val="00B96E1B"/>
    <w:rsid w:val="00BB0712"/>
    <w:rsid w:val="00BB1988"/>
    <w:rsid w:val="00BB1D9B"/>
    <w:rsid w:val="00BB4268"/>
    <w:rsid w:val="00BB4B77"/>
    <w:rsid w:val="00BB4F1A"/>
    <w:rsid w:val="00BB5F05"/>
    <w:rsid w:val="00BC2A4A"/>
    <w:rsid w:val="00BD2B00"/>
    <w:rsid w:val="00BD32B5"/>
    <w:rsid w:val="00BE4AFD"/>
    <w:rsid w:val="00BF09A9"/>
    <w:rsid w:val="00BF30AF"/>
    <w:rsid w:val="00BF5F74"/>
    <w:rsid w:val="00C007DD"/>
    <w:rsid w:val="00C02433"/>
    <w:rsid w:val="00C0248A"/>
    <w:rsid w:val="00C06800"/>
    <w:rsid w:val="00C11B1E"/>
    <w:rsid w:val="00C17CEC"/>
    <w:rsid w:val="00C23295"/>
    <w:rsid w:val="00C33D4D"/>
    <w:rsid w:val="00C358F0"/>
    <w:rsid w:val="00C35CE2"/>
    <w:rsid w:val="00C35FAE"/>
    <w:rsid w:val="00C36FCE"/>
    <w:rsid w:val="00C41B50"/>
    <w:rsid w:val="00C42524"/>
    <w:rsid w:val="00C43ADA"/>
    <w:rsid w:val="00C44D86"/>
    <w:rsid w:val="00C50DBB"/>
    <w:rsid w:val="00C50FD7"/>
    <w:rsid w:val="00C5280A"/>
    <w:rsid w:val="00C5576F"/>
    <w:rsid w:val="00C60270"/>
    <w:rsid w:val="00C66A60"/>
    <w:rsid w:val="00C70FCC"/>
    <w:rsid w:val="00C72BB4"/>
    <w:rsid w:val="00C76C59"/>
    <w:rsid w:val="00C8122B"/>
    <w:rsid w:val="00C83504"/>
    <w:rsid w:val="00C9460F"/>
    <w:rsid w:val="00C96502"/>
    <w:rsid w:val="00CA3161"/>
    <w:rsid w:val="00CA41B2"/>
    <w:rsid w:val="00CB483E"/>
    <w:rsid w:val="00CB6531"/>
    <w:rsid w:val="00CD1822"/>
    <w:rsid w:val="00CD1EAB"/>
    <w:rsid w:val="00CD49B1"/>
    <w:rsid w:val="00CD66E8"/>
    <w:rsid w:val="00CE6815"/>
    <w:rsid w:val="00CE7C4C"/>
    <w:rsid w:val="00CF244E"/>
    <w:rsid w:val="00CF425A"/>
    <w:rsid w:val="00CF4B6A"/>
    <w:rsid w:val="00D00302"/>
    <w:rsid w:val="00D02089"/>
    <w:rsid w:val="00D0628A"/>
    <w:rsid w:val="00D1263D"/>
    <w:rsid w:val="00D12B7F"/>
    <w:rsid w:val="00D1411E"/>
    <w:rsid w:val="00D17C20"/>
    <w:rsid w:val="00D22EA7"/>
    <w:rsid w:val="00D25E2C"/>
    <w:rsid w:val="00D25F42"/>
    <w:rsid w:val="00D32530"/>
    <w:rsid w:val="00D37B1A"/>
    <w:rsid w:val="00D401DB"/>
    <w:rsid w:val="00D53419"/>
    <w:rsid w:val="00D539D1"/>
    <w:rsid w:val="00D572CF"/>
    <w:rsid w:val="00D62FB0"/>
    <w:rsid w:val="00D638BC"/>
    <w:rsid w:val="00D65785"/>
    <w:rsid w:val="00D66711"/>
    <w:rsid w:val="00D734BA"/>
    <w:rsid w:val="00D7582E"/>
    <w:rsid w:val="00D76F1C"/>
    <w:rsid w:val="00D82121"/>
    <w:rsid w:val="00D84876"/>
    <w:rsid w:val="00D85FCE"/>
    <w:rsid w:val="00D92B5F"/>
    <w:rsid w:val="00D9563F"/>
    <w:rsid w:val="00D95C65"/>
    <w:rsid w:val="00D97EBD"/>
    <w:rsid w:val="00DA11CF"/>
    <w:rsid w:val="00DA6FC6"/>
    <w:rsid w:val="00DB76BC"/>
    <w:rsid w:val="00DC00D8"/>
    <w:rsid w:val="00DC2026"/>
    <w:rsid w:val="00DC247F"/>
    <w:rsid w:val="00DC6D27"/>
    <w:rsid w:val="00DC7E4F"/>
    <w:rsid w:val="00DD1F08"/>
    <w:rsid w:val="00DD3B49"/>
    <w:rsid w:val="00DD5798"/>
    <w:rsid w:val="00DE1F4D"/>
    <w:rsid w:val="00DE701B"/>
    <w:rsid w:val="00DF2477"/>
    <w:rsid w:val="00E0469D"/>
    <w:rsid w:val="00E1083E"/>
    <w:rsid w:val="00E111CD"/>
    <w:rsid w:val="00E137CA"/>
    <w:rsid w:val="00E14506"/>
    <w:rsid w:val="00E15189"/>
    <w:rsid w:val="00E23BF1"/>
    <w:rsid w:val="00E25ADE"/>
    <w:rsid w:val="00E2606C"/>
    <w:rsid w:val="00E26F1B"/>
    <w:rsid w:val="00E27461"/>
    <w:rsid w:val="00E314BE"/>
    <w:rsid w:val="00E40D01"/>
    <w:rsid w:val="00E42B2C"/>
    <w:rsid w:val="00E457D2"/>
    <w:rsid w:val="00E4725F"/>
    <w:rsid w:val="00E4739B"/>
    <w:rsid w:val="00E53386"/>
    <w:rsid w:val="00E53DF1"/>
    <w:rsid w:val="00E61885"/>
    <w:rsid w:val="00E64CE9"/>
    <w:rsid w:val="00E65D96"/>
    <w:rsid w:val="00E66CE4"/>
    <w:rsid w:val="00E67E9A"/>
    <w:rsid w:val="00E7751B"/>
    <w:rsid w:val="00E800E7"/>
    <w:rsid w:val="00E826FB"/>
    <w:rsid w:val="00E83449"/>
    <w:rsid w:val="00E85F15"/>
    <w:rsid w:val="00E87042"/>
    <w:rsid w:val="00E924F5"/>
    <w:rsid w:val="00E92FC4"/>
    <w:rsid w:val="00E9419A"/>
    <w:rsid w:val="00E97880"/>
    <w:rsid w:val="00E97961"/>
    <w:rsid w:val="00EA09B1"/>
    <w:rsid w:val="00EA1411"/>
    <w:rsid w:val="00EA3608"/>
    <w:rsid w:val="00EA5E53"/>
    <w:rsid w:val="00EA705D"/>
    <w:rsid w:val="00EA7F8C"/>
    <w:rsid w:val="00EB2E3E"/>
    <w:rsid w:val="00ED0550"/>
    <w:rsid w:val="00ED3B20"/>
    <w:rsid w:val="00ED7CC4"/>
    <w:rsid w:val="00EE1960"/>
    <w:rsid w:val="00EE4554"/>
    <w:rsid w:val="00F00F28"/>
    <w:rsid w:val="00F107D1"/>
    <w:rsid w:val="00F13543"/>
    <w:rsid w:val="00F1700F"/>
    <w:rsid w:val="00F21174"/>
    <w:rsid w:val="00F228E7"/>
    <w:rsid w:val="00F35C9A"/>
    <w:rsid w:val="00F50113"/>
    <w:rsid w:val="00F51005"/>
    <w:rsid w:val="00F5508E"/>
    <w:rsid w:val="00F56A6C"/>
    <w:rsid w:val="00F622CC"/>
    <w:rsid w:val="00F63170"/>
    <w:rsid w:val="00F65612"/>
    <w:rsid w:val="00F67400"/>
    <w:rsid w:val="00F7086C"/>
    <w:rsid w:val="00F72481"/>
    <w:rsid w:val="00F838B0"/>
    <w:rsid w:val="00F85136"/>
    <w:rsid w:val="00F87A4C"/>
    <w:rsid w:val="00F87B1A"/>
    <w:rsid w:val="00F9203C"/>
    <w:rsid w:val="00F948B6"/>
    <w:rsid w:val="00F94AEE"/>
    <w:rsid w:val="00F94C0F"/>
    <w:rsid w:val="00F95358"/>
    <w:rsid w:val="00F974F5"/>
    <w:rsid w:val="00FB0CCF"/>
    <w:rsid w:val="00FB3ACD"/>
    <w:rsid w:val="00FC180C"/>
    <w:rsid w:val="00FD33E9"/>
    <w:rsid w:val="00FD7540"/>
    <w:rsid w:val="00FE30D1"/>
    <w:rsid w:val="00FE4207"/>
    <w:rsid w:val="00FE4361"/>
    <w:rsid w:val="00FF0DA5"/>
    <w:rsid w:val="00FF47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color w:val="000000"/>
      <w:sz w:val="24"/>
      <w:szCs w:val="24"/>
      <w:lang w:eastAsia="en-US"/>
    </w:rPr>
  </w:style>
  <w:style w:type="paragraph" w:styleId="Heading1">
    <w:name w:val="heading 1"/>
    <w:basedOn w:val="Normal"/>
    <w:next w:val="Normal"/>
    <w:link w:val="Heading1Char"/>
    <w:qFormat/>
    <w:pPr>
      <w:keepNext/>
      <w:tabs>
        <w:tab w:val="left" w:pos="737"/>
      </w:tabs>
      <w:spacing w:before="120" w:after="240"/>
      <w:ind w:left="737" w:hanging="737"/>
      <w:outlineLvl w:val="0"/>
    </w:pPr>
    <w:rPr>
      <w:b/>
      <w:color w:val="auto"/>
      <w:sz w:val="32"/>
      <w:szCs w:val="32"/>
      <w:lang w:eastAsia="en-GB"/>
    </w:rPr>
  </w:style>
  <w:style w:type="paragraph" w:styleId="Heading2">
    <w:name w:val="heading 2"/>
    <w:basedOn w:val="Normal"/>
    <w:next w:val="Normal"/>
    <w:link w:val="Heading2Char"/>
    <w:qFormat/>
    <w:pPr>
      <w:keepNext/>
      <w:tabs>
        <w:tab w:val="left" w:pos="737"/>
      </w:tabs>
      <w:spacing w:before="120" w:after="240" w:line="280" w:lineRule="exact"/>
      <w:ind w:left="737" w:hanging="737"/>
      <w:outlineLvl w:val="1"/>
    </w:pPr>
    <w:rPr>
      <w:b/>
      <w:color w:val="auto"/>
      <w:sz w:val="28"/>
      <w:szCs w:val="28"/>
      <w:lang w:eastAsia="en-GB"/>
    </w:rPr>
  </w:style>
  <w:style w:type="paragraph" w:styleId="Heading3">
    <w:name w:val="heading 3"/>
    <w:basedOn w:val="Normal"/>
    <w:next w:val="Normal"/>
    <w:qFormat/>
    <w:pPr>
      <w:keepNext/>
      <w:tabs>
        <w:tab w:val="left" w:pos="737"/>
      </w:tabs>
      <w:spacing w:after="240"/>
      <w:ind w:left="737" w:hanging="737"/>
      <w:outlineLvl w:val="2"/>
    </w:pPr>
    <w:rPr>
      <w:b/>
      <w:color w:val="auto"/>
      <w:lang w:eastAsia="en-GB"/>
    </w:rPr>
  </w:style>
  <w:style w:type="paragraph" w:styleId="Heading4">
    <w:name w:val="heading 4"/>
    <w:basedOn w:val="Normal"/>
    <w:next w:val="Normal"/>
    <w:qFormat/>
    <w:pPr>
      <w:keepNext/>
      <w:tabs>
        <w:tab w:val="left" w:pos="737"/>
      </w:tabs>
      <w:spacing w:after="240"/>
      <w:ind w:left="737" w:hanging="737"/>
      <w:outlineLvl w:val="3"/>
    </w:pPr>
    <w:rPr>
      <w:i/>
      <w:color w:val="auto"/>
      <w:lang w:eastAsia="en-GB"/>
    </w:rPr>
  </w:style>
  <w:style w:type="paragraph" w:styleId="Heading5">
    <w:name w:val="heading 5"/>
    <w:basedOn w:val="Normal"/>
    <w:next w:val="Normal"/>
    <w:qFormat/>
    <w:pPr>
      <w:keepNext/>
      <w:spacing w:after="240"/>
      <w:ind w:left="567"/>
      <w:outlineLvl w:val="4"/>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skeyfindings">
    <w:name w:val="Bullets (key findings)"/>
    <w:basedOn w:val="Normal"/>
    <w:rsid w:val="0001349B"/>
    <w:pPr>
      <w:numPr>
        <w:numId w:val="3"/>
      </w:numPr>
      <w:spacing w:after="120"/>
    </w:pPr>
  </w:style>
  <w:style w:type="paragraph" w:customStyle="1" w:styleId="Bulletsstandard">
    <w:name w:val="Bullets (standard)"/>
    <w:basedOn w:val="Normal"/>
    <w:rsid w:val="0001349B"/>
    <w:pPr>
      <w:numPr>
        <w:numId w:val="6"/>
      </w:numPr>
    </w:pPr>
  </w:style>
  <w:style w:type="paragraph" w:styleId="Footer">
    <w:name w:val="footer"/>
    <w:basedOn w:val="Normal"/>
    <w:link w:val="FooterChar"/>
    <w:pPr>
      <w:tabs>
        <w:tab w:val="center" w:pos="4320"/>
        <w:tab w:val="right" w:pos="8640"/>
      </w:tabs>
    </w:pPr>
    <w:rPr>
      <w:sz w:val="20"/>
    </w:rPr>
  </w:style>
  <w:style w:type="paragraph" w:styleId="Header">
    <w:name w:val="header"/>
    <w:basedOn w:val="Normal"/>
    <w:pPr>
      <w:pBdr>
        <w:bottom w:val="single" w:sz="4" w:space="5" w:color="auto"/>
      </w:pBdr>
      <w:tabs>
        <w:tab w:val="center" w:pos="4320"/>
        <w:tab w:val="right" w:pos="8640"/>
      </w:tabs>
      <w:spacing w:line="200" w:lineRule="exact"/>
    </w:pPr>
    <w:rPr>
      <w:b/>
      <w:sz w:val="16"/>
      <w:szCs w:val="16"/>
    </w:rPr>
  </w:style>
  <w:style w:type="paragraph" w:customStyle="1" w:styleId="Bulletsspaced">
    <w:name w:val="Bullets (spaced)"/>
    <w:basedOn w:val="Bulletsstandard"/>
    <w:rsid w:val="005D09F0"/>
    <w:pPr>
      <w:numPr>
        <w:numId w:val="5"/>
      </w:numPr>
      <w:spacing w:after="120"/>
      <w:ind w:left="924" w:hanging="357"/>
    </w:pPr>
  </w:style>
  <w:style w:type="paragraph" w:customStyle="1" w:styleId="Sub-title">
    <w:name w:val="Sub-title"/>
    <w:basedOn w:val="Normal"/>
    <w:rsid w:val="00955CDA"/>
    <w:pPr>
      <w:pBdr>
        <w:bottom w:val="single" w:sz="4" w:space="6" w:color="auto"/>
      </w:pBdr>
      <w:spacing w:before="180" w:after="1134" w:line="300" w:lineRule="exact"/>
    </w:pPr>
  </w:style>
  <w:style w:type="character" w:styleId="PageNumber">
    <w:name w:val="page number"/>
    <w:rsid w:val="00F974F5"/>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semiHidden/>
    <w:rsid w:val="00605D7E"/>
    <w:pPr>
      <w:tabs>
        <w:tab w:val="right" w:pos="9072"/>
      </w:tabs>
      <w:spacing w:line="400" w:lineRule="exact"/>
    </w:pPr>
    <w:rPr>
      <w:b/>
    </w:rPr>
  </w:style>
  <w:style w:type="paragraph" w:customStyle="1" w:styleId="Publicationboxheader">
    <w:name w:val="Publication box header"/>
    <w:basedOn w:val="Normal"/>
    <w:next w:val="Publicationboxtext"/>
    <w:pPr>
      <w:spacing w:line="160" w:lineRule="exact"/>
    </w:pPr>
    <w:rPr>
      <w:b/>
      <w:sz w:val="14"/>
    </w:rPr>
  </w:style>
  <w:style w:type="paragraph" w:customStyle="1" w:styleId="Publicationboxtext">
    <w:name w:val="Publication box text"/>
    <w:basedOn w:val="Normal"/>
    <w:pPr>
      <w:tabs>
        <w:tab w:val="left" w:pos="1705"/>
        <w:tab w:val="left" w:pos="3410"/>
      </w:tabs>
      <w:spacing w:line="200" w:lineRule="exact"/>
    </w:pPr>
    <w:rPr>
      <w:sz w:val="14"/>
    </w:rPr>
  </w:style>
  <w:style w:type="paragraph" w:styleId="Title">
    <w:name w:val="Title"/>
    <w:basedOn w:val="Normal"/>
    <w:qFormat/>
    <w:rsid w:val="003C5600"/>
    <w:rPr>
      <w:kern w:val="28"/>
      <w:sz w:val="52"/>
    </w:rPr>
  </w:style>
  <w:style w:type="paragraph" w:customStyle="1" w:styleId="Bulletsround">
    <w:name w:val="Bullets (round)"/>
    <w:basedOn w:val="Normal"/>
    <w:rsid w:val="001E10F9"/>
    <w:pPr>
      <w:tabs>
        <w:tab w:val="num" w:pos="680"/>
      </w:tabs>
      <w:ind w:left="680" w:hanging="340"/>
    </w:pPr>
  </w:style>
  <w:style w:type="paragraph" w:customStyle="1" w:styleId="Bulletsspaced-lastbullet">
    <w:name w:val="Bullets (spaced) - last bullet"/>
    <w:basedOn w:val="Bulletsspaced"/>
    <w:next w:val="Numberedparagraph"/>
    <w:rsid w:val="00927209"/>
    <w:pPr>
      <w:spacing w:after="240"/>
    </w:pPr>
  </w:style>
  <w:style w:type="paragraph" w:customStyle="1" w:styleId="Numberedparagraph">
    <w:name w:val="Numbered paragraph"/>
    <w:basedOn w:val="Unnumberedparagraph"/>
    <w:pPr>
      <w:numPr>
        <w:numId w:val="2"/>
      </w:numPr>
      <w:ind w:left="567" w:hanging="567"/>
    </w:pPr>
  </w:style>
  <w:style w:type="paragraph" w:customStyle="1" w:styleId="Unnumberedparagraph">
    <w:name w:val="Unnumbered paragraph"/>
    <w:basedOn w:val="Normal"/>
    <w:link w:val="UnnumberedparagraphChar"/>
    <w:pPr>
      <w:spacing w:after="240"/>
    </w:pPr>
  </w:style>
  <w:style w:type="paragraph" w:customStyle="1" w:styleId="Summary">
    <w:name w:val="Summary"/>
    <w:basedOn w:val="Normal"/>
    <w:rsid w:val="00455E93"/>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Header-verso">
    <w:name w:val="Header - verso"/>
    <w:basedOn w:val="Header"/>
    <w:rsid w:val="004A3088"/>
    <w:pPr>
      <w:tabs>
        <w:tab w:val="clear" w:pos="4320"/>
        <w:tab w:val="clear" w:pos="8640"/>
        <w:tab w:val="left" w:pos="567"/>
      </w:tabs>
    </w:pPr>
  </w:style>
  <w:style w:type="paragraph" w:customStyle="1" w:styleId="Tableheader-top">
    <w:name w:val="Table header - top"/>
    <w:basedOn w:val="Unnumberedparagraph"/>
    <w:pPr>
      <w:spacing w:before="60" w:after="60"/>
      <w:contextualSpacing/>
      <w:jc w:val="center"/>
    </w:pPr>
    <w:rPr>
      <w:b/>
      <w:sz w:val="22"/>
    </w:rPr>
  </w:style>
  <w:style w:type="paragraph" w:customStyle="1" w:styleId="Header-recto">
    <w:name w:val="Header - recto"/>
    <w:basedOn w:val="Header"/>
    <w:rsid w:val="004A3088"/>
    <w:pPr>
      <w:tabs>
        <w:tab w:val="clear" w:pos="4320"/>
        <w:tab w:val="clear" w:pos="8640"/>
        <w:tab w:val="right" w:pos="7938"/>
      </w:tabs>
    </w:pPr>
  </w:style>
  <w:style w:type="paragraph" w:customStyle="1" w:styleId="Tabletext-left">
    <w:name w:val="Table text - left"/>
    <w:basedOn w:val="Unnumberedparagraph"/>
    <w:pPr>
      <w:spacing w:before="60" w:after="60"/>
      <w:contextualSpacing/>
    </w:pPr>
    <w:rPr>
      <w:sz w:val="22"/>
    </w:rPr>
  </w:style>
  <w:style w:type="paragraph" w:customStyle="1" w:styleId="Tabletext-centred">
    <w:name w:val="Table text - centred"/>
    <w:basedOn w:val="Unnumberedparagraph"/>
    <w:pPr>
      <w:spacing w:before="60" w:after="60"/>
      <w:contextualSpacing/>
      <w:jc w:val="center"/>
    </w:pPr>
    <w:rPr>
      <w:sz w:val="22"/>
    </w:rPr>
  </w:style>
  <w:style w:type="paragraph" w:customStyle="1" w:styleId="Tabletextbullet">
    <w:name w:val="Table text bullet"/>
    <w:basedOn w:val="Bulletsstandard"/>
    <w:pPr>
      <w:tabs>
        <w:tab w:val="left" w:pos="567"/>
      </w:tabs>
      <w:spacing w:before="60" w:after="60"/>
      <w:ind w:left="568"/>
      <w:contextualSpacing/>
    </w:pPr>
    <w:rPr>
      <w:sz w:val="22"/>
    </w:rPr>
  </w:style>
  <w:style w:type="paragraph" w:customStyle="1" w:styleId="Tabletext-numbered">
    <w:name w:val="Table text - numbered"/>
    <w:basedOn w:val="Numberedparagraph"/>
    <w:pPr>
      <w:spacing w:before="60" w:after="60"/>
      <w:contextualSpacing/>
    </w:pPr>
    <w:rPr>
      <w:sz w:val="22"/>
    </w:rPr>
  </w:style>
  <w:style w:type="paragraph" w:customStyle="1" w:styleId="Numberedlist">
    <w:name w:val="Numbered list"/>
    <w:basedOn w:val="Bulletsstandard"/>
    <w:pPr>
      <w:numPr>
        <w:numId w:val="1"/>
      </w:numPr>
    </w:pPr>
  </w:style>
  <w:style w:type="paragraph" w:customStyle="1" w:styleId="Bulletsdashes">
    <w:name w:val="Bullets (dashes)"/>
    <w:basedOn w:val="Bulletsspaced"/>
    <w:pPr>
      <w:numPr>
        <w:numId w:val="4"/>
      </w:numPr>
      <w:tabs>
        <w:tab w:val="clear" w:pos="1627"/>
        <w:tab w:val="left" w:pos="1247"/>
      </w:tabs>
      <w:ind w:left="1247" w:hanging="340"/>
    </w:pPr>
  </w:style>
  <w:style w:type="paragraph" w:styleId="Quote">
    <w:name w:val="Quote"/>
    <w:basedOn w:val="Unnumberedparagraph"/>
    <w:qFormat/>
    <w:pPr>
      <w:ind w:left="1134"/>
    </w:pPr>
  </w:style>
  <w:style w:type="paragraph" w:customStyle="1" w:styleId="Numberedparagraph-unnumberdextrapara">
    <w:name w:val="Numbered paragraph - unnumberd extra para"/>
    <w:basedOn w:val="Numberedparagraph"/>
    <w:next w:val="Numberedparagraph"/>
    <w:pPr>
      <w:numPr>
        <w:numId w:val="0"/>
      </w:numPr>
      <w:ind w:left="567"/>
    </w:pPr>
    <w:rPr>
      <w:szCs w:val="20"/>
    </w:rPr>
  </w:style>
  <w:style w:type="paragraph" w:customStyle="1" w:styleId="Figurestext">
    <w:name w:val="Figures text"/>
    <w:basedOn w:val="Normal"/>
    <w:pPr>
      <w:pBdr>
        <w:bar w:val="single" w:sz="4" w:color="auto"/>
      </w:pBdr>
      <w:ind w:left="1080" w:hanging="1080"/>
    </w:pPr>
    <w:rPr>
      <w:rFonts w:cs="Tahoma"/>
      <w:b/>
      <w:sz w:val="20"/>
      <w:szCs w:val="20"/>
    </w:rPr>
  </w:style>
  <w:style w:type="paragraph" w:customStyle="1" w:styleId="Bulletsstandard-lastbullet">
    <w:name w:val="Bullets (standard) - last bullet"/>
    <w:basedOn w:val="Bulletsstandard"/>
    <w:next w:val="Numberedparagraph"/>
    <w:pPr>
      <w:spacing w:after="240"/>
    </w:pPr>
  </w:style>
  <w:style w:type="paragraph" w:customStyle="1" w:styleId="Bulletskeyfindings-lastbullet">
    <w:name w:val="Bullets (key findings) - last bullet"/>
    <w:basedOn w:val="Bulletskeyfindings"/>
    <w:next w:val="Heading1"/>
    <w:pPr>
      <w:spacing w:after="240"/>
    </w:pPr>
  </w:style>
  <w:style w:type="paragraph" w:customStyle="1" w:styleId="Bulletsdashes-lastbullet">
    <w:name w:val="Bullets (dashes) - last bullet"/>
    <w:basedOn w:val="Bulletsdashes"/>
    <w:next w:val="Numberedparagraph"/>
    <w:pPr>
      <w:spacing w:after="240"/>
    </w:pPr>
  </w:style>
  <w:style w:type="paragraph" w:customStyle="1" w:styleId="Numberedlist-lastnumber">
    <w:name w:val="Numbered list - last number"/>
    <w:basedOn w:val="Numberedlist"/>
    <w:next w:val="Numberedparagraph"/>
    <w:pPr>
      <w:spacing w:after="240"/>
      <w:ind w:left="924" w:hanging="357"/>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pPr>
      <w:tabs>
        <w:tab w:val="left" w:pos="1705"/>
        <w:tab w:val="left" w:pos="3410"/>
      </w:tabs>
      <w:spacing w:line="200" w:lineRule="exact"/>
    </w:pPr>
    <w:rPr>
      <w:sz w:val="14"/>
    </w:rPr>
  </w:style>
  <w:style w:type="paragraph" w:customStyle="1" w:styleId="Casestudy">
    <w:name w:val="Case study"/>
    <w:basedOn w:val="Quote"/>
    <w:rsid w:val="00AE318F"/>
    <w:pPr>
      <w:shd w:val="clear" w:color="auto" w:fill="CCCCCC"/>
    </w:pPr>
  </w:style>
  <w:style w:type="paragraph" w:customStyle="1" w:styleId="Bulletscasestudy">
    <w:name w:val="Bullets (case study)"/>
    <w:basedOn w:val="Casestudy"/>
    <w:rsid w:val="009F5239"/>
    <w:pPr>
      <w:numPr>
        <w:numId w:val="7"/>
      </w:numPr>
      <w:tabs>
        <w:tab w:val="left" w:pos="340"/>
      </w:tabs>
      <w:contextualSpacing/>
    </w:pPr>
  </w:style>
  <w:style w:type="paragraph" w:customStyle="1" w:styleId="CoverStats">
    <w:name w:val="Cover Stats"/>
    <w:basedOn w:val="Normal"/>
    <w:link w:val="CoverStatsChar"/>
    <w:rsid w:val="008C1B63"/>
    <w:pPr>
      <w:pBdr>
        <w:between w:val="single" w:sz="4" w:space="3" w:color="auto"/>
      </w:pBdr>
    </w:pPr>
    <w:rPr>
      <w:sz w:val="20"/>
      <w:szCs w:val="20"/>
    </w:rPr>
  </w:style>
  <w:style w:type="character" w:styleId="Hyperlink">
    <w:name w:val="Hyperlink"/>
    <w:rsid w:val="00940C01"/>
    <w:rPr>
      <w:color w:val="0000FF"/>
      <w:u w:val="single"/>
    </w:rPr>
  </w:style>
  <w:style w:type="paragraph" w:customStyle="1" w:styleId="Copyright">
    <w:name w:val="Copyright"/>
    <w:basedOn w:val="Normal"/>
    <w:rsid w:val="00C83504"/>
    <w:pPr>
      <w:spacing w:after="120" w:line="260" w:lineRule="exact"/>
    </w:pPr>
    <w:rPr>
      <w:sz w:val="20"/>
      <w:szCs w:val="20"/>
    </w:rPr>
  </w:style>
  <w:style w:type="paragraph" w:customStyle="1" w:styleId="Contentsheading">
    <w:name w:val="Contents heading"/>
    <w:basedOn w:val="Title"/>
    <w:rsid w:val="00C50DBB"/>
    <w:pPr>
      <w:pBdr>
        <w:bottom w:val="single" w:sz="4" w:space="9" w:color="auto"/>
      </w:pBdr>
      <w:spacing w:after="1134"/>
    </w:pPr>
    <w:rPr>
      <w:b/>
      <w:noProof/>
      <w:sz w:val="32"/>
      <w:szCs w:val="20"/>
    </w:rPr>
  </w:style>
  <w:style w:type="paragraph" w:customStyle="1" w:styleId="Footer-LHSEven">
    <w:name w:val="Footer - LHS Even"/>
    <w:basedOn w:val="Footer"/>
    <w:rsid w:val="00324CB7"/>
    <w:pPr>
      <w:pBdr>
        <w:top w:val="single" w:sz="4" w:space="6" w:color="auto"/>
      </w:pBdr>
      <w:tabs>
        <w:tab w:val="clear" w:pos="4320"/>
        <w:tab w:val="clear" w:pos="8640"/>
        <w:tab w:val="right" w:pos="8505"/>
      </w:tabs>
    </w:pPr>
    <w:rPr>
      <w:b/>
      <w:sz w:val="16"/>
      <w:szCs w:val="20"/>
    </w:rPr>
  </w:style>
  <w:style w:type="paragraph" w:customStyle="1" w:styleId="Footer-RHSOdd">
    <w:name w:val="Footer - RHS Odd"/>
    <w:basedOn w:val="Footer-LHSEven"/>
    <w:rsid w:val="00324CB7"/>
    <w:pPr>
      <w:tabs>
        <w:tab w:val="clear" w:pos="8505"/>
        <w:tab w:val="left" w:pos="567"/>
      </w:tabs>
    </w:pPr>
  </w:style>
  <w:style w:type="character" w:styleId="FollowedHyperlink">
    <w:name w:val="FollowedHyperlink"/>
    <w:rsid w:val="008A2ECC"/>
    <w:rPr>
      <w:color w:val="800080"/>
      <w:u w:val="single"/>
    </w:rPr>
  </w:style>
  <w:style w:type="paragraph" w:customStyle="1" w:styleId="Numberedparagraphs">
    <w:name w:val="Numbered paragraphs"/>
    <w:basedOn w:val="Normal"/>
    <w:rsid w:val="001E10F9"/>
    <w:pPr>
      <w:tabs>
        <w:tab w:val="num" w:pos="567"/>
      </w:tabs>
      <w:ind w:left="567" w:hanging="567"/>
    </w:pPr>
  </w:style>
  <w:style w:type="paragraph" w:styleId="BodyText2">
    <w:name w:val="Body Text 2"/>
    <w:aliases w:val=" Char"/>
    <w:basedOn w:val="Normal"/>
    <w:link w:val="BodyText2Char"/>
    <w:rsid w:val="001E10F9"/>
    <w:pPr>
      <w:spacing w:after="120" w:line="480" w:lineRule="auto"/>
      <w:jc w:val="both"/>
    </w:pPr>
    <w:rPr>
      <w:rFonts w:ascii="Arial" w:hAnsi="Arial"/>
      <w:color w:val="auto"/>
      <w:lang w:eastAsia="en-GB"/>
    </w:rPr>
  </w:style>
  <w:style w:type="character" w:customStyle="1" w:styleId="BodyText2Char">
    <w:name w:val="Body Text 2 Char"/>
    <w:aliases w:val=" Char Char"/>
    <w:link w:val="BodyText2"/>
    <w:rsid w:val="001E10F9"/>
    <w:rPr>
      <w:rFonts w:ascii="Arial" w:hAnsi="Arial"/>
      <w:sz w:val="24"/>
      <w:szCs w:val="24"/>
      <w:lang w:val="en-GB" w:eastAsia="en-GB" w:bidi="ar-SA"/>
    </w:rPr>
  </w:style>
  <w:style w:type="character" w:styleId="Strong">
    <w:name w:val="Strong"/>
    <w:qFormat/>
    <w:rsid w:val="001E10F9"/>
    <w:rPr>
      <w:b/>
      <w:bCs/>
    </w:rPr>
  </w:style>
  <w:style w:type="paragraph" w:styleId="BodyText">
    <w:name w:val="Body Text"/>
    <w:basedOn w:val="Normal"/>
    <w:link w:val="BodyTextChar"/>
    <w:rsid w:val="001E10F9"/>
    <w:pPr>
      <w:spacing w:after="120"/>
    </w:pPr>
    <w:rPr>
      <w:rFonts w:ascii="Times New Roman" w:hAnsi="Times New Roman"/>
      <w:color w:val="auto"/>
      <w:lang w:eastAsia="en-GB"/>
    </w:rPr>
  </w:style>
  <w:style w:type="paragraph" w:styleId="ListBullet2">
    <w:name w:val="List Bullet 2"/>
    <w:basedOn w:val="Normal"/>
    <w:link w:val="ListBullet2Char"/>
    <w:rsid w:val="001E10F9"/>
    <w:pPr>
      <w:numPr>
        <w:numId w:val="8"/>
      </w:numPr>
    </w:pPr>
    <w:rPr>
      <w:rFonts w:ascii="Times New Roman" w:hAnsi="Times New Roman"/>
      <w:color w:val="auto"/>
      <w:lang w:eastAsia="en-GB"/>
    </w:rPr>
  </w:style>
  <w:style w:type="character" w:customStyle="1" w:styleId="Heading2Char">
    <w:name w:val="Heading 2 Char"/>
    <w:link w:val="Heading2"/>
    <w:rsid w:val="001E10F9"/>
    <w:rPr>
      <w:rFonts w:ascii="Tahoma" w:hAnsi="Tahoma"/>
      <w:b/>
      <w:sz w:val="28"/>
      <w:szCs w:val="28"/>
      <w:lang w:val="en-GB" w:eastAsia="en-GB" w:bidi="ar-SA"/>
    </w:rPr>
  </w:style>
  <w:style w:type="character" w:customStyle="1" w:styleId="BodyTextChar">
    <w:name w:val="Body Text Char"/>
    <w:link w:val="BodyText"/>
    <w:rsid w:val="001E10F9"/>
    <w:rPr>
      <w:sz w:val="24"/>
      <w:szCs w:val="24"/>
      <w:lang w:val="en-GB" w:eastAsia="en-GB" w:bidi="ar-SA"/>
    </w:rPr>
  </w:style>
  <w:style w:type="character" w:customStyle="1" w:styleId="ListBullet2Char">
    <w:name w:val="List Bullet 2 Char"/>
    <w:link w:val="ListBullet2"/>
    <w:rsid w:val="001E10F9"/>
    <w:rPr>
      <w:sz w:val="24"/>
      <w:szCs w:val="24"/>
      <w:lang w:val="en-GB" w:eastAsia="en-GB" w:bidi="ar-SA"/>
    </w:rPr>
  </w:style>
  <w:style w:type="paragraph" w:styleId="TOC2">
    <w:name w:val="toc 2"/>
    <w:basedOn w:val="Normal"/>
    <w:next w:val="Normal"/>
    <w:autoRedefine/>
    <w:semiHidden/>
    <w:rsid w:val="00E97961"/>
    <w:pPr>
      <w:ind w:left="240"/>
    </w:pPr>
  </w:style>
  <w:style w:type="paragraph" w:styleId="TOC3">
    <w:name w:val="toc 3"/>
    <w:basedOn w:val="Normal"/>
    <w:next w:val="Normal"/>
    <w:autoRedefine/>
    <w:semiHidden/>
    <w:rsid w:val="00E97961"/>
    <w:pPr>
      <w:ind w:left="480"/>
    </w:pPr>
  </w:style>
  <w:style w:type="paragraph" w:customStyle="1" w:styleId="TitleNOsubtitle">
    <w:name w:val="Title NO subtitle"/>
    <w:basedOn w:val="Title"/>
    <w:rsid w:val="00AB58F1"/>
    <w:pPr>
      <w:pBdr>
        <w:bottom w:val="single" w:sz="4" w:space="9" w:color="auto"/>
      </w:pBdr>
      <w:spacing w:after="1134"/>
    </w:pPr>
  </w:style>
  <w:style w:type="paragraph" w:customStyle="1" w:styleId="StyleCoverStatsBold">
    <w:name w:val="Style Cover Stats + Bold"/>
    <w:basedOn w:val="CoverStats"/>
    <w:link w:val="StyleCoverStatsBoldChar"/>
    <w:rsid w:val="00AB22BC"/>
    <w:rPr>
      <w:b/>
      <w:bCs/>
    </w:rPr>
  </w:style>
  <w:style w:type="character" w:customStyle="1" w:styleId="CoverStatsChar">
    <w:name w:val="Cover Stats Char"/>
    <w:link w:val="CoverStats"/>
    <w:rsid w:val="00AB22BC"/>
    <w:rPr>
      <w:rFonts w:ascii="Tahoma" w:hAnsi="Tahoma"/>
      <w:color w:val="000000"/>
      <w:lang w:val="en-GB" w:eastAsia="en-US" w:bidi="ar-SA"/>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table" w:styleId="TableGrid">
    <w:name w:val="Table Grid"/>
    <w:basedOn w:val="TableNormal"/>
    <w:rsid w:val="002E3A6A"/>
    <w:pPr>
      <w:spacing w:line="32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numberedparagraphChar">
    <w:name w:val="Unnumbered paragraph Char"/>
    <w:link w:val="Unnumberedparagraph"/>
    <w:rsid w:val="002E3A6A"/>
    <w:rPr>
      <w:rFonts w:ascii="Tahoma" w:hAnsi="Tahoma"/>
      <w:color w:val="000000"/>
      <w:sz w:val="24"/>
      <w:szCs w:val="24"/>
      <w:lang w:val="en-GB" w:eastAsia="en-US" w:bidi="ar-SA"/>
    </w:rPr>
  </w:style>
  <w:style w:type="character" w:customStyle="1" w:styleId="Heading1Char">
    <w:name w:val="Heading 1 Char"/>
    <w:link w:val="Heading1"/>
    <w:rsid w:val="00EE1960"/>
    <w:rPr>
      <w:rFonts w:ascii="Tahoma" w:hAnsi="Tahoma"/>
      <w:b/>
      <w:sz w:val="32"/>
      <w:szCs w:val="32"/>
      <w:lang w:val="en-GB" w:eastAsia="en-GB" w:bidi="ar-SA"/>
    </w:rPr>
  </w:style>
  <w:style w:type="paragraph" w:customStyle="1" w:styleId="LQN4">
    <w:name w:val="LQN4"/>
    <w:basedOn w:val="Normal"/>
    <w:rsid w:val="00C23295"/>
    <w:pPr>
      <w:tabs>
        <w:tab w:val="right" w:pos="1588"/>
        <w:tab w:val="left" w:pos="1701"/>
      </w:tabs>
      <w:spacing w:before="80" w:line="220" w:lineRule="atLeast"/>
      <w:ind w:left="1701" w:hanging="1701"/>
      <w:jc w:val="both"/>
    </w:pPr>
    <w:rPr>
      <w:rFonts w:ascii="Times New Roman" w:hAnsi="Times New Roman"/>
      <w:color w:val="auto"/>
      <w:sz w:val="21"/>
      <w:szCs w:val="20"/>
    </w:rPr>
  </w:style>
  <w:style w:type="paragraph" w:styleId="NormalWeb">
    <w:name w:val="Normal (Web)"/>
    <w:basedOn w:val="Normal"/>
    <w:rsid w:val="00542333"/>
    <w:pPr>
      <w:spacing w:before="45" w:after="120" w:line="288" w:lineRule="atLeast"/>
      <w:ind w:left="75" w:right="75"/>
    </w:pPr>
    <w:rPr>
      <w:rFonts w:ascii="Times New Roman" w:hAnsi="Times New Roman"/>
      <w:lang w:eastAsia="en-GB"/>
    </w:rPr>
  </w:style>
  <w:style w:type="paragraph" w:styleId="PlainText">
    <w:name w:val="Plain Text"/>
    <w:basedOn w:val="Normal"/>
    <w:rsid w:val="005614F1"/>
    <w:pPr>
      <w:jc w:val="both"/>
    </w:pPr>
    <w:rPr>
      <w:rFonts w:cs="Tahoma"/>
      <w:color w:val="auto"/>
      <w:sz w:val="20"/>
      <w:szCs w:val="20"/>
      <w:lang w:eastAsia="en-GB"/>
    </w:rPr>
  </w:style>
  <w:style w:type="paragraph" w:customStyle="1" w:styleId="Bullets">
    <w:name w:val="Bullets"/>
    <w:basedOn w:val="Normal"/>
    <w:rsid w:val="0062367C"/>
    <w:pPr>
      <w:numPr>
        <w:numId w:val="10"/>
      </w:numPr>
    </w:pPr>
  </w:style>
  <w:style w:type="paragraph" w:styleId="ListParagraph">
    <w:name w:val="List Paragraph"/>
    <w:basedOn w:val="Normal"/>
    <w:uiPriority w:val="34"/>
    <w:qFormat/>
    <w:rsid w:val="00B11528"/>
    <w:pPr>
      <w:ind w:left="720"/>
    </w:pPr>
  </w:style>
  <w:style w:type="paragraph" w:customStyle="1" w:styleId="Default">
    <w:name w:val="Default"/>
    <w:rsid w:val="007E65D8"/>
    <w:pPr>
      <w:autoSpaceDE w:val="0"/>
      <w:autoSpaceDN w:val="0"/>
      <w:adjustRightInd w:val="0"/>
    </w:pPr>
    <w:rPr>
      <w:rFonts w:ascii="Helvetica Neue" w:hAnsi="Helvetica Neue" w:cs="Helvetica Neue"/>
      <w:color w:val="000000"/>
      <w:sz w:val="24"/>
      <w:szCs w:val="24"/>
    </w:rPr>
  </w:style>
  <w:style w:type="paragraph" w:customStyle="1" w:styleId="CM17">
    <w:name w:val="CM17"/>
    <w:basedOn w:val="Default"/>
    <w:next w:val="Default"/>
    <w:uiPriority w:val="99"/>
    <w:rsid w:val="007E65D8"/>
    <w:rPr>
      <w:rFonts w:cs="Times New Roman"/>
      <w:color w:val="auto"/>
    </w:rPr>
  </w:style>
  <w:style w:type="character" w:customStyle="1" w:styleId="FooterChar">
    <w:name w:val="Footer Char"/>
    <w:link w:val="Footer"/>
    <w:rsid w:val="005D09F0"/>
    <w:rPr>
      <w:rFonts w:ascii="Tahoma" w:hAnsi="Tahoma"/>
      <w:color w:val="000000"/>
      <w:szCs w:val="24"/>
      <w:lang w:eastAsia="en-US"/>
    </w:rPr>
  </w:style>
</w:styles>
</file>

<file path=word/webSettings.xml><?xml version="1.0" encoding="utf-8"?>
<w:webSettings xmlns:r="http://schemas.openxmlformats.org/officeDocument/2006/relationships" xmlns:w="http://schemas.openxmlformats.org/wordprocessingml/2006/main">
  <w:divs>
    <w:div w:id="40642424">
      <w:bodyDiv w:val="1"/>
      <w:marLeft w:val="0"/>
      <w:marRight w:val="0"/>
      <w:marTop w:val="0"/>
      <w:marBottom w:val="0"/>
      <w:divBdr>
        <w:top w:val="none" w:sz="0" w:space="0" w:color="auto"/>
        <w:left w:val="none" w:sz="0" w:space="0" w:color="auto"/>
        <w:bottom w:val="none" w:sz="0" w:space="0" w:color="auto"/>
        <w:right w:val="none" w:sz="0" w:space="0" w:color="auto"/>
      </w:divBdr>
    </w:div>
    <w:div w:id="1130592471">
      <w:bodyDiv w:val="1"/>
      <w:marLeft w:val="0"/>
      <w:marRight w:val="0"/>
      <w:marTop w:val="0"/>
      <w:marBottom w:val="0"/>
      <w:divBdr>
        <w:top w:val="none" w:sz="0" w:space="0" w:color="auto"/>
        <w:left w:val="none" w:sz="0" w:space="0" w:color="auto"/>
        <w:bottom w:val="none" w:sz="0" w:space="0" w:color="auto"/>
        <w:right w:val="none" w:sz="0" w:space="0" w:color="auto"/>
      </w:divBdr>
      <w:divsChild>
        <w:div w:id="1275285324">
          <w:marLeft w:val="0"/>
          <w:marRight w:val="0"/>
          <w:marTop w:val="0"/>
          <w:marBottom w:val="0"/>
          <w:divBdr>
            <w:top w:val="none" w:sz="0" w:space="0" w:color="auto"/>
            <w:left w:val="none" w:sz="0" w:space="0" w:color="auto"/>
            <w:bottom w:val="none" w:sz="0" w:space="0" w:color="auto"/>
            <w:right w:val="none" w:sz="0" w:space="0" w:color="auto"/>
          </w:divBdr>
          <w:divsChild>
            <w:div w:id="2521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ducation.gov.uk/schools/teachingandlearning/curriculum/a0068102/early-years-foundation-stage-eyfs"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ofsted.gov.uk/resources/evaluation-schedule-for-inspections-of-registered-early-years-provision"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ofsted.gov.uk/resources/conducting-early-years-inspections" TargetMode="External"/><Relationship Id="rId22" Type="http://schemas.openxmlformats.org/officeDocument/2006/relationships/fontTable" Target="fontTable.xml"/></Relationships>
</file>

<file path=word/_rels/footer5.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ofsted.gov.uk" TargetMode="External"/></Relationships>
</file>

<file path=word/_rels/footer6.xml.rels><?xml version="1.0" encoding="UTF-8" standalone="yes"?>
<Relationships xmlns="http://schemas.openxmlformats.org/package/2006/relationships"><Relationship Id="rId3" Type="http://schemas.openxmlformats.org/officeDocument/2006/relationships/hyperlink" Target="http://www.ofsted.gov.uk/resources/factsheet-childcare-requirements-for-risk-assessments" TargetMode="External"/><Relationship Id="rId2" Type="http://schemas.openxmlformats.org/officeDocument/2006/relationships/hyperlink" Target="mailto:psi@nationalarchives.gsi.gov.uk" TargetMode="External"/><Relationship Id="rId1" Type="http://schemas.openxmlformats.org/officeDocument/2006/relationships/hyperlink" Target="http://www.nationalarchives.gov.uk/doc/open-government-licence/" TargetMode="External"/><Relationship Id="rId6" Type="http://schemas.openxmlformats.org/officeDocument/2006/relationships/image" Target="media/image1.jpeg"/><Relationship Id="rId5" Type="http://schemas.openxmlformats.org/officeDocument/2006/relationships/hyperlink" Target="http://www.ofsted.gov.uk" TargetMode="External"/><Relationship Id="rId4" Type="http://schemas.openxmlformats.org/officeDocument/2006/relationships/hyperlink" Target="file:///C:\www.ofsted.gov.uk\us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hse.gov.uk/risk/index.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p2hq\RestrictedSCD$\Publications%20Team\Projects%20(small)%20-%20various\Website\template_wip\inspectionguidancetemplate\inspg_template_newC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inspg_template_newCI</Template>
  <TotalTime>1</TotalTime>
  <Pages>5</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Ofsted publication</vt:lpstr>
    </vt:vector>
  </TitlesOfParts>
  <Company>Ofsted</Company>
  <LinksUpToDate>false</LinksUpToDate>
  <CharactersWithSpaces>7531</CharactersWithSpaces>
  <SharedDoc>false</SharedDoc>
  <HLinks>
    <vt:vector size="60" baseType="variant">
      <vt:variant>
        <vt:i4>3670055</vt:i4>
      </vt:variant>
      <vt:variant>
        <vt:i4>6</vt:i4>
      </vt:variant>
      <vt:variant>
        <vt:i4>0</vt:i4>
      </vt:variant>
      <vt:variant>
        <vt:i4>5</vt:i4>
      </vt:variant>
      <vt:variant>
        <vt:lpwstr>http://www.ofsted.gov.uk/resources/evaluation-schedule-for-inspections-of-registered-early-years-provision</vt:lpwstr>
      </vt:variant>
      <vt:variant>
        <vt:lpwstr/>
      </vt:variant>
      <vt:variant>
        <vt:i4>1900632</vt:i4>
      </vt:variant>
      <vt:variant>
        <vt:i4>3</vt:i4>
      </vt:variant>
      <vt:variant>
        <vt:i4>0</vt:i4>
      </vt:variant>
      <vt:variant>
        <vt:i4>5</vt:i4>
      </vt:variant>
      <vt:variant>
        <vt:lpwstr>http://www.ofsted.gov.uk/resources/conducting-early-years-inspections</vt:lpwstr>
      </vt:variant>
      <vt:variant>
        <vt:lpwstr/>
      </vt:variant>
      <vt:variant>
        <vt:i4>458769</vt:i4>
      </vt:variant>
      <vt:variant>
        <vt:i4>0</vt:i4>
      </vt:variant>
      <vt:variant>
        <vt:i4>0</vt:i4>
      </vt:variant>
      <vt:variant>
        <vt:i4>5</vt:i4>
      </vt:variant>
      <vt:variant>
        <vt:lpwstr>http://www.education.gov.uk/schools/teachingandlearning/curriculum/a0068102/early-years-foundation-stage-eyfs</vt:lpwstr>
      </vt:variant>
      <vt:variant>
        <vt:lpwstr/>
      </vt:variant>
      <vt:variant>
        <vt:i4>2031704</vt:i4>
      </vt:variant>
      <vt:variant>
        <vt:i4>0</vt:i4>
      </vt:variant>
      <vt:variant>
        <vt:i4>0</vt:i4>
      </vt:variant>
      <vt:variant>
        <vt:i4>5</vt:i4>
      </vt:variant>
      <vt:variant>
        <vt:lpwstr>http://www.hse.gov.uk/risk/index.htm</vt:lpwstr>
      </vt:variant>
      <vt:variant>
        <vt:lpwstr/>
      </vt:variant>
      <vt:variant>
        <vt:i4>5636162</vt:i4>
      </vt:variant>
      <vt:variant>
        <vt:i4>24</vt:i4>
      </vt:variant>
      <vt:variant>
        <vt:i4>0</vt:i4>
      </vt:variant>
      <vt:variant>
        <vt:i4>5</vt:i4>
      </vt:variant>
      <vt:variant>
        <vt:lpwstr>http://www.ofsted.gov.uk/</vt:lpwstr>
      </vt:variant>
      <vt:variant>
        <vt:lpwstr/>
      </vt:variant>
      <vt:variant>
        <vt:i4>7077945</vt:i4>
      </vt:variant>
      <vt:variant>
        <vt:i4>21</vt:i4>
      </vt:variant>
      <vt:variant>
        <vt:i4>0</vt:i4>
      </vt:variant>
      <vt:variant>
        <vt:i4>5</vt:i4>
      </vt:variant>
      <vt:variant>
        <vt:lpwstr>../../../www.ofsted.gov.uk/user</vt:lpwstr>
      </vt:variant>
      <vt:variant>
        <vt:lpwstr/>
      </vt:variant>
      <vt:variant>
        <vt:i4>6094860</vt:i4>
      </vt:variant>
      <vt:variant>
        <vt:i4>18</vt:i4>
      </vt:variant>
      <vt:variant>
        <vt:i4>0</vt:i4>
      </vt:variant>
      <vt:variant>
        <vt:i4>5</vt:i4>
      </vt:variant>
      <vt:variant>
        <vt:lpwstr>http://www.ofsted.gov.uk/resources/factsheet-childcare-requirements-for-risk-assessments</vt:lpwstr>
      </vt:variant>
      <vt:variant>
        <vt:lpwstr/>
      </vt:variant>
      <vt:variant>
        <vt:i4>3670022</vt:i4>
      </vt:variant>
      <vt:variant>
        <vt:i4>15</vt:i4>
      </vt:variant>
      <vt:variant>
        <vt:i4>0</vt:i4>
      </vt:variant>
      <vt:variant>
        <vt:i4>5</vt:i4>
      </vt:variant>
      <vt:variant>
        <vt:lpwstr>mailto:psi@nationalarchives.gsi.gov.uk</vt:lpwstr>
      </vt:variant>
      <vt:variant>
        <vt:lpwstr/>
      </vt:variant>
      <vt:variant>
        <vt:i4>6553714</vt:i4>
      </vt:variant>
      <vt:variant>
        <vt:i4>12</vt:i4>
      </vt:variant>
      <vt:variant>
        <vt:i4>0</vt:i4>
      </vt:variant>
      <vt:variant>
        <vt:i4>5</vt:i4>
      </vt:variant>
      <vt:variant>
        <vt:lpwstr>http://www.nationalarchives.gov.uk/doc/open-government-licence/</vt:lpwstr>
      </vt:variant>
      <vt:variant>
        <vt:lpwstr/>
      </vt:variant>
      <vt:variant>
        <vt:i4>5636162</vt:i4>
      </vt:variant>
      <vt:variant>
        <vt:i4>9</vt:i4>
      </vt:variant>
      <vt:variant>
        <vt:i4>0</vt:i4>
      </vt:variant>
      <vt:variant>
        <vt:i4>5</vt:i4>
      </vt:variant>
      <vt:variant>
        <vt:lpwstr>http://www.ofsted.gov.uk/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Ofsted publication</dc:title>
  <dc:creator>akuras</dc:creator>
  <cp:lastModifiedBy>dan</cp:lastModifiedBy>
  <cp:revision>2</cp:revision>
  <cp:lastPrinted>2012-11-19T09:31:00Z</cp:lastPrinted>
  <dcterms:created xsi:type="dcterms:W3CDTF">2013-09-09T19:42:00Z</dcterms:created>
  <dcterms:modified xsi:type="dcterms:W3CDTF">2013-09-09T19:42:00Z</dcterms:modified>
</cp:coreProperties>
</file>